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D0" w:rsidRDefault="002E2FD0" w:rsidP="002E2FD0">
      <w:pPr>
        <w:pStyle w:val="Style4"/>
        <w:widowControl/>
        <w:spacing w:line="240" w:lineRule="auto"/>
        <w:ind w:left="379"/>
        <w:rPr>
          <w:rStyle w:val="FontStyle29"/>
        </w:rPr>
      </w:pPr>
      <w:r>
        <w:rPr>
          <w:rStyle w:val="FontStyle29"/>
        </w:rPr>
        <w:t xml:space="preserve">КРИТЕРИИ ОЦЕНКИ ЗАЯВОК ПРЕТЕНДЕНТОВ НА ЗАМЕЩЕНИЕ ВАКАНТНЫХ ДОЛЖНОСТЕЙ НАУЧНЫХ РАБОТНИКОВ </w:t>
      </w:r>
    </w:p>
    <w:p w:rsidR="002E2FD0" w:rsidRDefault="002E2FD0" w:rsidP="002E2FD0">
      <w:pPr>
        <w:pStyle w:val="Style7"/>
        <w:widowControl/>
        <w:rPr>
          <w:sz w:val="20"/>
          <w:szCs w:val="20"/>
        </w:rPr>
      </w:pPr>
    </w:p>
    <w:p w:rsidR="002E2FD0" w:rsidRDefault="002E2FD0" w:rsidP="002E2FD0">
      <w:pPr>
        <w:pStyle w:val="Style7"/>
        <w:widowControl/>
        <w:ind w:firstLine="709"/>
        <w:rPr>
          <w:rStyle w:val="FontStyle38"/>
          <w:spacing w:val="-4"/>
        </w:rPr>
      </w:pPr>
      <w:r>
        <w:rPr>
          <w:rStyle w:val="FontStyle38"/>
          <w:spacing w:val="-4"/>
        </w:rPr>
        <w:t>Конкурсная комиссия осуществляет оценку профессионального уровня Претендентов на замещение должностей научных работников или перевод на соответствующие должности научных работников, руководствуясь следующими критериями (таблица 2.1).</w:t>
      </w:r>
    </w:p>
    <w:p w:rsidR="002E2FD0" w:rsidRDefault="002E2FD0" w:rsidP="002E2FD0">
      <w:pPr>
        <w:pStyle w:val="Style7"/>
        <w:widowControl/>
        <w:ind w:firstLine="709"/>
        <w:rPr>
          <w:rStyle w:val="FontStyle38"/>
          <w:spacing w:val="-4"/>
        </w:rPr>
      </w:pPr>
    </w:p>
    <w:p w:rsidR="002E2FD0" w:rsidRDefault="002E2FD0" w:rsidP="002E2FD0">
      <w:pPr>
        <w:pStyle w:val="Style7"/>
        <w:rPr>
          <w:rStyle w:val="FontStyle38"/>
        </w:rPr>
      </w:pPr>
      <w:r>
        <w:rPr>
          <w:rStyle w:val="FontStyle38"/>
        </w:rPr>
        <w:t>Таблица 2.1 – Критерии оценки заявок Претендентов на замещение вакантных должностей научных работников</w:t>
      </w:r>
    </w:p>
    <w:p w:rsidR="002E2FD0" w:rsidRDefault="002E2FD0" w:rsidP="002E2FD0">
      <w:pPr>
        <w:pStyle w:val="Style7"/>
        <w:spacing w:line="144" w:lineRule="auto"/>
        <w:rPr>
          <w:rStyle w:val="FontStyle38"/>
        </w:rPr>
      </w:pPr>
    </w:p>
    <w:p w:rsidR="002E2FD0" w:rsidRDefault="002E2FD0" w:rsidP="002E2FD0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3119"/>
      </w:tblGrid>
      <w:tr w:rsidR="002E2FD0" w:rsidRPr="00A72A14" w:rsidTr="004E6EF1">
        <w:tc>
          <w:tcPr>
            <w:tcW w:w="851" w:type="dxa"/>
            <w:vAlign w:val="center"/>
          </w:tcPr>
          <w:p w:rsidR="002E2FD0" w:rsidRPr="00A72A14" w:rsidRDefault="002E2FD0" w:rsidP="004E6EF1">
            <w:pPr>
              <w:pStyle w:val="Style12"/>
              <w:widowControl/>
              <w:jc w:val="center"/>
              <w:rPr>
                <w:rStyle w:val="FontStyle34"/>
                <w:rFonts w:ascii="times new roman Полужирный" w:hAnsi="times new roman Полужирный"/>
                <w:b/>
                <w:spacing w:val="-6"/>
              </w:rPr>
            </w:pPr>
            <w:r w:rsidRPr="00A72A14">
              <w:rPr>
                <w:rStyle w:val="FontStyle34"/>
                <w:rFonts w:ascii="times new roman Полужирный" w:hAnsi="times new roman Полужирный"/>
                <w:b/>
                <w:spacing w:val="-6"/>
              </w:rPr>
              <w:t>№ п/п</w:t>
            </w:r>
          </w:p>
        </w:tc>
        <w:tc>
          <w:tcPr>
            <w:tcW w:w="5528" w:type="dxa"/>
            <w:vAlign w:val="center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  <w:r w:rsidRPr="00A72A14">
              <w:rPr>
                <w:rStyle w:val="FontStyle29"/>
              </w:rPr>
              <w:t>Критерии</w:t>
            </w:r>
          </w:p>
        </w:tc>
        <w:tc>
          <w:tcPr>
            <w:tcW w:w="3119" w:type="dxa"/>
            <w:vAlign w:val="center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  <w:r w:rsidRPr="00A72A14">
              <w:rPr>
                <w:rStyle w:val="FontStyle29"/>
              </w:rPr>
              <w:t>Баллы</w:t>
            </w:r>
          </w:p>
        </w:tc>
      </w:tr>
      <w:tr w:rsidR="002E2FD0" w:rsidRPr="00A72A14" w:rsidTr="004E6EF1">
        <w:tc>
          <w:tcPr>
            <w:tcW w:w="851" w:type="dxa"/>
            <w:vAlign w:val="center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A72A14">
              <w:rPr>
                <w:rStyle w:val="FontStyle38"/>
                <w:b/>
              </w:rPr>
              <w:t>1</w:t>
            </w:r>
          </w:p>
        </w:tc>
        <w:tc>
          <w:tcPr>
            <w:tcW w:w="5528" w:type="dxa"/>
            <w:vAlign w:val="center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  <w:r w:rsidRPr="00A72A14">
              <w:rPr>
                <w:rStyle w:val="FontStyle29"/>
              </w:rPr>
              <w:t>2</w:t>
            </w:r>
          </w:p>
        </w:tc>
        <w:tc>
          <w:tcPr>
            <w:tcW w:w="3119" w:type="dxa"/>
            <w:vAlign w:val="center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A72A14">
              <w:rPr>
                <w:rStyle w:val="FontStyle38"/>
                <w:b/>
              </w:rPr>
              <w:t>3</w:t>
            </w:r>
          </w:p>
        </w:tc>
      </w:tr>
      <w:tr w:rsidR="002E2FD0" w:rsidRPr="00A72A14" w:rsidTr="004E6EF1">
        <w:tc>
          <w:tcPr>
            <w:tcW w:w="9498" w:type="dxa"/>
            <w:gridSpan w:val="3"/>
            <w:vAlign w:val="center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  <w:r w:rsidRPr="00A72A14">
              <w:rPr>
                <w:rStyle w:val="FontStyle35"/>
              </w:rPr>
              <w:t xml:space="preserve">1. </w:t>
            </w:r>
            <w:r w:rsidRPr="00A72A14">
              <w:rPr>
                <w:rStyle w:val="FontStyle29"/>
              </w:rPr>
              <w:t>Квалификационные требования и опыт работы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Наличие высшего образования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Наличие ученой степени: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0"/>
              <w:widowControl/>
              <w:jc w:val="center"/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1.2.1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5"/>
              <w:rPr>
                <w:rStyle w:val="FontStyle38"/>
              </w:rPr>
            </w:pPr>
            <w:r w:rsidRPr="00A72A14">
              <w:rPr>
                <w:rStyle w:val="FontStyle38"/>
              </w:rPr>
              <w:t>– кандидат наук по профилю структурного подразделения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1.2.2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5"/>
              <w:rPr>
                <w:rStyle w:val="FontStyle38"/>
              </w:rPr>
            </w:pPr>
            <w:r w:rsidRPr="00A72A14">
              <w:rPr>
                <w:rStyle w:val="FontStyle38"/>
              </w:rPr>
              <w:t>– доктор наук по профилю структурного подразделения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Наличие ученого звания: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0"/>
              <w:widowControl/>
              <w:jc w:val="center"/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1.3.1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доцент (старший научный сотрудник)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1.3.2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профессор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  <w:spacing w:val="40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1.3.3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академик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1.3.4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член-корреспондент Академии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Стаж научной работы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1.5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Стаж работы на руководящих должностях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9498" w:type="dxa"/>
            <w:gridSpan w:val="3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35"/>
              </w:rPr>
            </w:pPr>
            <w:r w:rsidRPr="00A72A14">
              <w:rPr>
                <w:rStyle w:val="FontStyle35"/>
              </w:rPr>
              <w:t>2. Результаты научной деятельности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5" w:right="355" w:hanging="5"/>
              <w:rPr>
                <w:rStyle w:val="FontStyle38"/>
              </w:rPr>
            </w:pPr>
            <w:r w:rsidRPr="00A72A14">
              <w:rPr>
                <w:rStyle w:val="FontStyle38"/>
              </w:rPr>
              <w:t xml:space="preserve">Общее число публикаций в изданиях, </w:t>
            </w:r>
            <w:r w:rsidRPr="00A72A14">
              <w:rPr>
                <w:rStyle w:val="FontStyle38"/>
                <w:spacing w:val="-10"/>
              </w:rPr>
              <w:t xml:space="preserve">входящих в перечень ВАК </w:t>
            </w:r>
            <w:proofErr w:type="spellStart"/>
            <w:r w:rsidRPr="00A72A14">
              <w:rPr>
                <w:rStyle w:val="FontStyle38"/>
                <w:spacing w:val="-10"/>
              </w:rPr>
              <w:t>Минобрнауки</w:t>
            </w:r>
            <w:proofErr w:type="spellEnd"/>
            <w:r w:rsidRPr="00A72A14">
              <w:rPr>
                <w:rStyle w:val="FontStyle38"/>
                <w:spacing w:val="-10"/>
              </w:rPr>
              <w:t xml:space="preserve"> России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250"/>
              </w:tabs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Общее число публикаций в РИНЦ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6"/>
                <w:b/>
                <w:bCs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 xml:space="preserve">Общее число публикаций в </w:t>
            </w:r>
            <w:proofErr w:type="spellStart"/>
            <w:r w:rsidRPr="00A72A14">
              <w:rPr>
                <w:rStyle w:val="FontStyle38"/>
              </w:rPr>
              <w:t>Scopus</w:t>
            </w:r>
            <w:proofErr w:type="spellEnd"/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 xml:space="preserve">Общее число публикаций в </w:t>
            </w:r>
            <w:proofErr w:type="spellStart"/>
            <w:r w:rsidRPr="00A72A14">
              <w:rPr>
                <w:rStyle w:val="FontStyle38"/>
              </w:rPr>
              <w:t>Web</w:t>
            </w:r>
            <w:proofErr w:type="spellEnd"/>
            <w:r w:rsidRPr="00A72A14">
              <w:rPr>
                <w:rStyle w:val="FontStyle38"/>
              </w:rPr>
              <w:t xml:space="preserve"> </w:t>
            </w:r>
            <w:proofErr w:type="spellStart"/>
            <w:r w:rsidRPr="00A72A14">
              <w:rPr>
                <w:rStyle w:val="FontStyle38"/>
              </w:rPr>
              <w:t>of</w:t>
            </w:r>
            <w:proofErr w:type="spellEnd"/>
            <w:r w:rsidRPr="00A72A14">
              <w:rPr>
                <w:rStyle w:val="FontStyle38"/>
              </w:rPr>
              <w:t xml:space="preserve"> </w:t>
            </w:r>
            <w:proofErr w:type="spellStart"/>
            <w:r w:rsidRPr="00A72A14">
              <w:rPr>
                <w:rStyle w:val="FontStyle38"/>
              </w:rPr>
              <w:t>Science</w:t>
            </w:r>
            <w:proofErr w:type="spellEnd"/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  <w:lang w:val="en-US"/>
              </w:rPr>
              <w:t>2</w:t>
            </w:r>
            <w:r w:rsidRPr="00A72A14">
              <w:rPr>
                <w:rStyle w:val="FontStyle38"/>
              </w:rPr>
              <w:t>.5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 xml:space="preserve">Индекс </w:t>
            </w:r>
            <w:proofErr w:type="spellStart"/>
            <w:r w:rsidRPr="00A72A14">
              <w:rPr>
                <w:rStyle w:val="FontStyle38"/>
              </w:rPr>
              <w:t>Хирша</w:t>
            </w:r>
            <w:proofErr w:type="spellEnd"/>
            <w:r w:rsidRPr="00A72A14">
              <w:rPr>
                <w:rStyle w:val="FontStyle38"/>
              </w:rPr>
              <w:t xml:space="preserve"> в РИНЦ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right="37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2.6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right="107"/>
              <w:rPr>
                <w:rStyle w:val="FontStyle38"/>
              </w:rPr>
            </w:pPr>
            <w:r w:rsidRPr="00A72A14">
              <w:rPr>
                <w:rStyle w:val="FontStyle38"/>
              </w:rPr>
              <w:t xml:space="preserve">Членство в редколлегии журналов, </w:t>
            </w:r>
            <w:r w:rsidRPr="00A72A14">
              <w:rPr>
                <w:rStyle w:val="FontStyle38"/>
                <w:spacing w:val="-6"/>
              </w:rPr>
              <w:t>входящих в перечень ВАК</w:t>
            </w:r>
            <w:r w:rsidRPr="00A72A14">
              <w:rPr>
                <w:spacing w:val="-6"/>
              </w:rPr>
              <w:t xml:space="preserve"> </w:t>
            </w:r>
            <w:proofErr w:type="spellStart"/>
            <w:r w:rsidRPr="00A72A14">
              <w:rPr>
                <w:rStyle w:val="FontStyle38"/>
                <w:spacing w:val="-6"/>
              </w:rPr>
              <w:t>Минобрнауки</w:t>
            </w:r>
            <w:proofErr w:type="spellEnd"/>
            <w:r w:rsidRPr="00A72A14">
              <w:rPr>
                <w:rStyle w:val="FontStyle38"/>
                <w:spacing w:val="-6"/>
              </w:rPr>
              <w:t xml:space="preserve"> России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24" w:hanging="2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2.7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right="107"/>
              <w:rPr>
                <w:rStyle w:val="FontStyle38"/>
              </w:rPr>
            </w:pPr>
            <w:r w:rsidRPr="00A72A14">
              <w:t>Общее число документов о регистрации прав на результаты интеллектуальной деятельности (патент, полезная модель, авторское свидетельство)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24" w:hanging="2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9498" w:type="dxa"/>
            <w:gridSpan w:val="3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35"/>
              </w:rPr>
            </w:pPr>
            <w:r w:rsidRPr="00A72A14">
              <w:rPr>
                <w:rStyle w:val="FontStyle35"/>
              </w:rPr>
              <w:t>3. Результаты научной деятельности за последние 5 лет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Участие в работе диссертационных советов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326"/>
              </w:tabs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  <w:spacing w:val="-12"/>
              </w:rPr>
            </w:pPr>
            <w:r w:rsidRPr="00A72A14">
              <w:rPr>
                <w:rStyle w:val="FontStyle38"/>
                <w:spacing w:val="-12"/>
              </w:rPr>
              <w:t xml:space="preserve">Участие в работе экспертных советов ВАК </w:t>
            </w:r>
            <w:proofErr w:type="spellStart"/>
            <w:r w:rsidRPr="00A72A14">
              <w:rPr>
                <w:rStyle w:val="FontStyle38"/>
                <w:spacing w:val="-12"/>
              </w:rPr>
              <w:t>Минобрнауки</w:t>
            </w:r>
            <w:proofErr w:type="spellEnd"/>
            <w:r w:rsidRPr="00A72A14">
              <w:rPr>
                <w:rStyle w:val="FontStyle38"/>
                <w:spacing w:val="-12"/>
              </w:rPr>
              <w:t xml:space="preserve"> </w:t>
            </w:r>
            <w:r w:rsidRPr="00A72A14">
              <w:rPr>
                <w:rStyle w:val="FontStyle38"/>
              </w:rPr>
              <w:t>России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3</w:t>
            </w:r>
          </w:p>
        </w:tc>
        <w:tc>
          <w:tcPr>
            <w:tcW w:w="8647" w:type="dxa"/>
            <w:gridSpan w:val="2"/>
          </w:tcPr>
          <w:p w:rsidR="002E2FD0" w:rsidRPr="00A72A14" w:rsidRDefault="002E2FD0" w:rsidP="004E6EF1">
            <w:pPr>
              <w:pStyle w:val="Style8"/>
              <w:widowControl/>
              <w:spacing w:line="240" w:lineRule="auto"/>
              <w:rPr>
                <w:rStyle w:val="FontStyle29"/>
                <w:b w:val="0"/>
              </w:rPr>
            </w:pPr>
            <w:r w:rsidRPr="00A72A14">
              <w:rPr>
                <w:rStyle w:val="FontStyle29"/>
                <w:b w:val="0"/>
              </w:rPr>
              <w:t>Участие в работе иных экспертных советов: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3</w:t>
            </w:r>
            <w:r w:rsidRPr="00A72A14">
              <w:rPr>
                <w:rStyle w:val="FontStyle38"/>
              </w:rPr>
              <w:t>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международного уровня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3</w:t>
            </w:r>
            <w:r w:rsidRPr="00A72A14">
              <w:rPr>
                <w:rStyle w:val="FontStyle38"/>
              </w:rPr>
              <w:t>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федерального уровня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3</w:t>
            </w:r>
            <w:r w:rsidRPr="00A72A14">
              <w:rPr>
                <w:rStyle w:val="FontStyle38"/>
              </w:rPr>
              <w:t>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регионального уровня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4</w:t>
            </w:r>
          </w:p>
        </w:tc>
        <w:tc>
          <w:tcPr>
            <w:tcW w:w="8647" w:type="dxa"/>
            <w:gridSpan w:val="2"/>
          </w:tcPr>
          <w:p w:rsidR="002E2FD0" w:rsidRPr="00A72A14" w:rsidRDefault="002E2FD0" w:rsidP="004E6EF1">
            <w:pPr>
              <w:pStyle w:val="Style8"/>
              <w:widowControl/>
              <w:spacing w:line="240" w:lineRule="auto"/>
              <w:rPr>
                <w:rStyle w:val="FontStyle29"/>
                <w:b w:val="0"/>
              </w:rPr>
            </w:pPr>
            <w:r w:rsidRPr="00A72A14">
              <w:rPr>
                <w:rStyle w:val="FontStyle29"/>
                <w:b w:val="0"/>
              </w:rPr>
              <w:t>Редактирование научных работ в качестве ответственного редактора:</w:t>
            </w:r>
          </w:p>
        </w:tc>
      </w:tr>
    </w:tbl>
    <w:p w:rsidR="002E2FD0" w:rsidRPr="00A678D8" w:rsidRDefault="002E2FD0" w:rsidP="002E2FD0">
      <w:pPr>
        <w:jc w:val="center"/>
        <w:rPr>
          <w:rFonts w:ascii="Times New Roman" w:hAnsi="Times New Roman"/>
        </w:rPr>
      </w:pPr>
      <w:r w:rsidRPr="00A678D8">
        <w:rPr>
          <w:rFonts w:ascii="Times New Roman" w:hAnsi="Times New Roman"/>
        </w:rPr>
        <w:t>Продолжение таблицы 2.1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3119"/>
      </w:tblGrid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4</w:t>
            </w:r>
            <w:r w:rsidRPr="00A72A14">
              <w:rPr>
                <w:rStyle w:val="FontStyle38"/>
              </w:rPr>
              <w:t>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монография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2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4</w:t>
            </w:r>
            <w:r w:rsidRPr="00A72A14">
              <w:rPr>
                <w:rStyle w:val="FontStyle38"/>
              </w:rPr>
              <w:t>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учебник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2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3.</w:t>
            </w:r>
            <w:r w:rsidRPr="00A72A14">
              <w:rPr>
                <w:rStyle w:val="FontStyle38"/>
                <w:lang w:val="en-US"/>
              </w:rPr>
              <w:t>4</w:t>
            </w:r>
            <w:r w:rsidRPr="00A72A14">
              <w:rPr>
                <w:rStyle w:val="FontStyle38"/>
              </w:rPr>
              <w:t>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сборник статей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2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lastRenderedPageBreak/>
              <w:t>3.</w:t>
            </w:r>
            <w:r w:rsidRPr="00A72A14">
              <w:rPr>
                <w:rStyle w:val="FontStyle38"/>
                <w:lang w:val="en-US"/>
              </w:rPr>
              <w:t>4</w:t>
            </w:r>
            <w:r w:rsidRPr="00A72A14">
              <w:rPr>
                <w:rStyle w:val="FontStyle38"/>
              </w:rPr>
              <w:t>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комментарии к законам и иным нормативным правовым актам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8647" w:type="dxa"/>
            <w:gridSpan w:val="2"/>
          </w:tcPr>
          <w:p w:rsidR="002E2FD0" w:rsidRPr="00A72A14" w:rsidRDefault="002E2FD0" w:rsidP="004E6EF1">
            <w:pPr>
              <w:pStyle w:val="Style8"/>
              <w:widowControl/>
              <w:spacing w:line="240" w:lineRule="auto"/>
              <w:ind w:firstLine="19"/>
              <w:jc w:val="center"/>
              <w:rPr>
                <w:rStyle w:val="FontStyle29"/>
              </w:rPr>
            </w:pPr>
            <w:r w:rsidRPr="00A72A14">
              <w:rPr>
                <w:rStyle w:val="FontStyle29"/>
              </w:rPr>
              <w:t>4. Руководство исследованиями по самостоятельным темам в рамках российских и международных программ (грантов), в том числе: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4.1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гранты РФФИ, РНФ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4.2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научно-исследовательские работы (НИР) регионального и федерального уровней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4.3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rPr>
                <w:rStyle w:val="FontStyle38"/>
              </w:rPr>
            </w:pPr>
            <w:r w:rsidRPr="00A72A14">
              <w:rPr>
                <w:rStyle w:val="FontStyle38"/>
              </w:rPr>
              <w:t>– программы фундаментальных исследований РАН и ее отделений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4.4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rPr>
                <w:rStyle w:val="FontStyle38"/>
              </w:rPr>
            </w:pPr>
            <w:r w:rsidRPr="00A72A14">
              <w:rPr>
                <w:rStyle w:val="FontStyle38"/>
              </w:rPr>
              <w:t>– международные научные программы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14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rPr>
          <w:trHeight w:val="570"/>
        </w:trPr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8647" w:type="dxa"/>
            <w:gridSpan w:val="2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43"/>
              <w:jc w:val="center"/>
              <w:rPr>
                <w:rStyle w:val="FontStyle38"/>
                <w:rFonts w:ascii="Calibri" w:hAnsi="Calibri"/>
              </w:rPr>
            </w:pPr>
            <w:r w:rsidRPr="00A72A14">
              <w:rPr>
                <w:rStyle w:val="FontStyle29"/>
              </w:rPr>
              <w:t xml:space="preserve">5. Участие в качестве исполнителя в исследованиях по самостоятельным </w:t>
            </w:r>
            <w:r w:rsidRPr="00A72A14">
              <w:rPr>
                <w:rStyle w:val="FontStyle29"/>
                <w:rFonts w:ascii="times new roman Полужирный" w:hAnsi="times new roman Полужирный"/>
                <w:spacing w:val="-10"/>
              </w:rPr>
              <w:t>темам в рамках российских и международных программ (грантов), в том числе: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5.1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2"/>
              <w:widowControl/>
              <w:ind w:firstLine="19"/>
              <w:rPr>
                <w:rStyle w:val="FontStyle29"/>
              </w:rPr>
            </w:pPr>
            <w:r w:rsidRPr="00A72A14">
              <w:rPr>
                <w:rStyle w:val="FontStyle38"/>
              </w:rPr>
              <w:t>– гранты РФФИ, РНФ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5.2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2"/>
              <w:widowControl/>
              <w:ind w:firstLine="19"/>
              <w:rPr>
                <w:rStyle w:val="FontStyle38"/>
              </w:rPr>
            </w:pPr>
            <w:r w:rsidRPr="00A72A14">
              <w:rPr>
                <w:rStyle w:val="FontStyle38"/>
              </w:rPr>
              <w:t>– научно-исследовательские работы (НИР) регионального и федерального уровней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5.3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программы фундаментальных исследований РАН и ее отделений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2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5.3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международные научные программы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firstLine="29"/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8647" w:type="dxa"/>
            <w:gridSpan w:val="2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right="317"/>
              <w:jc w:val="center"/>
              <w:rPr>
                <w:rStyle w:val="FontStyle38"/>
              </w:rPr>
            </w:pPr>
            <w:r w:rsidRPr="00A72A14">
              <w:rPr>
                <w:rStyle w:val="FontStyle29"/>
              </w:rPr>
              <w:t>6. Подготовка научных кадров высшей квалификации</w:t>
            </w: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6.1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2"/>
              <w:widowControl/>
              <w:rPr>
                <w:rStyle w:val="FontStyle29"/>
              </w:rPr>
            </w:pPr>
            <w:r w:rsidRPr="00A72A14">
              <w:rPr>
                <w:rStyle w:val="FontStyle38"/>
              </w:rPr>
              <w:t>– проведение аудиторных занятий в аспирантуре по одной учебной дисциплине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22"/>
              <w:widowControl/>
              <w:jc w:val="center"/>
              <w:rPr>
                <w:rStyle w:val="FontStyle29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6.2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rPr>
                <w:rStyle w:val="FontStyle38"/>
              </w:rPr>
            </w:pPr>
            <w:r w:rsidRPr="00A72A14">
              <w:rPr>
                <w:rStyle w:val="FontStyle38"/>
              </w:rPr>
              <w:t>– научное руководство диссертационной работой соискателя ученой степени кандидата наук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322"/>
              </w:tabs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6.3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A72A14">
              <w:rPr>
                <w:rStyle w:val="FontStyle38"/>
              </w:rPr>
              <w:t>– научное консультирование соискателя ученой степени доктора наук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322"/>
              </w:tabs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6.4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10" w:hanging="10"/>
              <w:rPr>
                <w:rStyle w:val="FontStyle38"/>
              </w:rPr>
            </w:pPr>
            <w:r w:rsidRPr="00A72A14">
              <w:rPr>
                <w:rStyle w:val="FontStyle38"/>
              </w:rPr>
              <w:t>– кандидаты наук, защитившие диссертационные работы под руководством Претендента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293"/>
              </w:tabs>
              <w:jc w:val="center"/>
              <w:rPr>
                <w:rStyle w:val="FontStyle38"/>
              </w:rPr>
            </w:pPr>
          </w:p>
        </w:tc>
      </w:tr>
      <w:tr w:rsidR="002E2FD0" w:rsidRPr="00A72A14" w:rsidTr="004E6EF1">
        <w:tc>
          <w:tcPr>
            <w:tcW w:w="851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jc w:val="center"/>
              <w:rPr>
                <w:rStyle w:val="FontStyle38"/>
              </w:rPr>
            </w:pPr>
            <w:r w:rsidRPr="00A72A14">
              <w:rPr>
                <w:rStyle w:val="FontStyle38"/>
              </w:rPr>
              <w:t>6.5</w:t>
            </w:r>
          </w:p>
        </w:tc>
        <w:tc>
          <w:tcPr>
            <w:tcW w:w="5528" w:type="dxa"/>
          </w:tcPr>
          <w:p w:rsidR="002E2FD0" w:rsidRPr="00A72A14" w:rsidRDefault="002E2FD0" w:rsidP="004E6EF1">
            <w:pPr>
              <w:pStyle w:val="Style26"/>
              <w:widowControl/>
              <w:spacing w:line="240" w:lineRule="auto"/>
              <w:ind w:left="14" w:right="1037" w:hanging="14"/>
              <w:rPr>
                <w:rStyle w:val="FontStyle38"/>
              </w:rPr>
            </w:pPr>
            <w:r w:rsidRPr="00A72A14">
              <w:rPr>
                <w:rStyle w:val="FontStyle38"/>
              </w:rPr>
              <w:t>– доктора наук, защитившие диссертационные работы при научном консультировании Претендента</w:t>
            </w:r>
          </w:p>
        </w:tc>
        <w:tc>
          <w:tcPr>
            <w:tcW w:w="3119" w:type="dxa"/>
          </w:tcPr>
          <w:p w:rsidR="002E2FD0" w:rsidRPr="00A72A14" w:rsidRDefault="002E2FD0" w:rsidP="004E6EF1">
            <w:pPr>
              <w:pStyle w:val="Style19"/>
              <w:widowControl/>
              <w:tabs>
                <w:tab w:val="left" w:pos="293"/>
              </w:tabs>
              <w:jc w:val="center"/>
              <w:rPr>
                <w:rStyle w:val="FontStyle38"/>
              </w:rPr>
            </w:pPr>
          </w:p>
        </w:tc>
      </w:tr>
    </w:tbl>
    <w:p w:rsidR="00EC72DA" w:rsidRDefault="00A7336C">
      <w:bookmarkStart w:id="0" w:name="_GoBack"/>
      <w:bookmarkEnd w:id="0"/>
    </w:p>
    <w:sectPr w:rsidR="00EC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0"/>
    <w:rsid w:val="002E2FD0"/>
    <w:rsid w:val="00670731"/>
    <w:rsid w:val="008A49E3"/>
    <w:rsid w:val="00A7336C"/>
    <w:rsid w:val="00B832C8"/>
    <w:rsid w:val="00C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F80F"/>
  <w15:chartTrackingRefBased/>
  <w15:docId w15:val="{DDA3B001-4C67-46D5-8FC3-B747FCF0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E2FD0"/>
    <w:pPr>
      <w:widowControl w:val="0"/>
      <w:spacing w:after="0" w:line="322" w:lineRule="exact"/>
      <w:jc w:val="center"/>
    </w:pPr>
    <w:rPr>
      <w:rFonts w:ascii="Times New Roman" w:eastAsia="Arial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E2FD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8">
    <w:name w:val="Font Style38"/>
    <w:uiPriority w:val="99"/>
    <w:rsid w:val="002E2FD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E2FD0"/>
    <w:pPr>
      <w:widowControl w:val="0"/>
      <w:spacing w:after="0" w:line="240" w:lineRule="auto"/>
      <w:jc w:val="both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E2FD0"/>
    <w:pPr>
      <w:widowControl w:val="0"/>
      <w:spacing w:after="0" w:line="323" w:lineRule="exact"/>
      <w:ind w:firstLine="706"/>
      <w:jc w:val="both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2FD0"/>
    <w:pPr>
      <w:widowControl w:val="0"/>
      <w:spacing w:after="0" w:line="326" w:lineRule="exact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E2FD0"/>
    <w:pPr>
      <w:widowControl w:val="0"/>
      <w:spacing w:after="0" w:line="240" w:lineRule="auto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E2FD0"/>
    <w:pPr>
      <w:widowControl w:val="0"/>
      <w:spacing w:after="0" w:line="240" w:lineRule="auto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E2FD0"/>
    <w:pPr>
      <w:widowControl w:val="0"/>
      <w:spacing w:after="0" w:line="240" w:lineRule="auto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E2FD0"/>
    <w:pPr>
      <w:widowControl w:val="0"/>
      <w:spacing w:after="0" w:line="240" w:lineRule="auto"/>
    </w:pPr>
    <w:rPr>
      <w:rFonts w:ascii="Times New Roman" w:eastAsia="Arial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E2FD0"/>
    <w:pPr>
      <w:widowControl w:val="0"/>
      <w:spacing w:after="0" w:line="322" w:lineRule="exact"/>
    </w:pPr>
    <w:rPr>
      <w:rFonts w:ascii="Times New Roman" w:eastAsia="Arial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2E2FD0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35">
    <w:name w:val="Font Style35"/>
    <w:uiPriority w:val="99"/>
    <w:rsid w:val="002E2FD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6">
    <w:name w:val="Font Style36"/>
    <w:uiPriority w:val="99"/>
    <w:rsid w:val="002E2FD0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Карамышева Марина Дмитриевна</dc:creator>
  <cp:keywords/>
  <dc:description/>
  <cp:lastModifiedBy>Карамышева Марина Дмитриевна</cp:lastModifiedBy>
  <cp:revision>2</cp:revision>
  <dcterms:created xsi:type="dcterms:W3CDTF">2023-03-07T12:28:00Z</dcterms:created>
  <dcterms:modified xsi:type="dcterms:W3CDTF">2023-03-09T08:56:00Z</dcterms:modified>
</cp:coreProperties>
</file>