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DB" w:rsidRDefault="00EE6944">
      <w:pPr>
        <w:rPr>
          <w:rFonts w:eastAsia="Times New Roman" w:cs="Times New Roman"/>
          <w:b/>
          <w:bCs/>
          <w:szCs w:val="28"/>
          <w:lang w:eastAsia="en-GB"/>
        </w:rPr>
      </w:pPr>
      <w:r>
        <w:rPr>
          <w:rFonts w:eastAsia="Times New Roman" w:cs="Times New Roman"/>
          <w:b/>
          <w:bCs/>
          <w:szCs w:val="28"/>
          <w:lang w:eastAsia="en-GB"/>
        </w:rPr>
        <w:t>КОДЕКС ЭТИКИ СОЗДАНИЯ СИСТЕМ ИСКУССТВЕННОГО ИНТЕЛЛЕКТА ДЛЯ ЗДРАВООХРАНЕНИЯ РОССИЙСКОЙ ФЕДЕРАЦИИ</w:t>
      </w:r>
    </w:p>
    <w:p w:rsidR="002C40DB" w:rsidRDefault="002C40DB">
      <w:pPr>
        <w:rPr>
          <w:rFonts w:cs="Times New Roman"/>
          <w:szCs w:val="28"/>
        </w:rPr>
      </w:pPr>
    </w:p>
    <w:p w:rsidR="002C40DB" w:rsidRDefault="00EE69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ВВЕДЕНИЕ</w:t>
      </w:r>
    </w:p>
    <w:p w:rsidR="002C40DB" w:rsidRDefault="00EE69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Технологии искусственного интеллекта (ИИ) играют ключевую роль в цифровой трансформации системы здравоохранения. Их применение может </w:t>
      </w:r>
      <w:r>
        <w:rPr>
          <w:rFonts w:cs="Times New Roman"/>
          <w:szCs w:val="28"/>
        </w:rPr>
        <w:t>оказать существенное влияние на улучшение качества лечебно-диагностических процессов, создание новых цифровых сервисов для пациентов и повышение эффективности планирования и управления отраслью [</w:t>
      </w:r>
      <w:r>
        <w:rPr>
          <w:rFonts w:cs="Times New Roman"/>
          <w:szCs w:val="28"/>
          <w:lang w:val="en-US"/>
        </w:rPr>
        <w:fldChar w:fldCharType="begin"/>
      </w:r>
      <w:r>
        <w:rPr>
          <w:rFonts w:cs="Times New Roman"/>
          <w:szCs w:val="28"/>
        </w:rPr>
        <w:instrText xml:space="preserve"> </w:instrText>
      </w:r>
      <w:r>
        <w:rPr>
          <w:rFonts w:cs="Times New Roman"/>
          <w:szCs w:val="28"/>
          <w:lang w:val="en-US"/>
        </w:rPr>
        <w:instrText>REF</w:instrText>
      </w:r>
      <w:r>
        <w:rPr>
          <w:rFonts w:cs="Times New Roman"/>
          <w:szCs w:val="28"/>
        </w:rPr>
        <w:instrText xml:space="preserve"> _</w:instrText>
      </w:r>
      <w:r>
        <w:rPr>
          <w:rFonts w:cs="Times New Roman"/>
          <w:szCs w:val="28"/>
          <w:lang w:val="en-US"/>
        </w:rPr>
        <w:instrText>Ref</w:instrText>
      </w:r>
      <w:r>
        <w:rPr>
          <w:rFonts w:cs="Times New Roman"/>
          <w:szCs w:val="28"/>
        </w:rPr>
        <w:instrText>131143083 \</w:instrText>
      </w:r>
      <w:r>
        <w:rPr>
          <w:rFonts w:cs="Times New Roman"/>
          <w:szCs w:val="28"/>
          <w:lang w:val="en-US"/>
        </w:rPr>
        <w:instrText>r</w:instrText>
      </w:r>
      <w:r>
        <w:rPr>
          <w:rFonts w:cs="Times New Roman"/>
          <w:szCs w:val="28"/>
        </w:rPr>
        <w:instrText xml:space="preserve"> \</w:instrText>
      </w:r>
      <w:r>
        <w:rPr>
          <w:rFonts w:cs="Times New Roman"/>
          <w:szCs w:val="28"/>
          <w:lang w:val="en-US"/>
        </w:rPr>
        <w:instrText>h</w:instrText>
      </w:r>
      <w:r>
        <w:rPr>
          <w:rFonts w:cs="Times New Roman"/>
          <w:szCs w:val="28"/>
        </w:rPr>
        <w:instrText xml:space="preserve"> </w:instrText>
      </w:r>
      <w:r>
        <w:rPr>
          <w:rFonts w:cs="Times New Roman"/>
          <w:szCs w:val="28"/>
          <w:lang w:val="en-US"/>
        </w:rPr>
      </w:r>
      <w:r>
        <w:rPr>
          <w:rFonts w:cs="Times New Roman"/>
          <w:szCs w:val="28"/>
          <w:lang w:val="en-US"/>
        </w:rPr>
        <w:fldChar w:fldCharType="separate"/>
      </w:r>
      <w:r>
        <w:rPr>
          <w:rFonts w:cs="Times New Roman"/>
          <w:szCs w:val="28"/>
        </w:rPr>
        <w:t>1</w:t>
      </w:r>
      <w:r>
        <w:rPr>
          <w:rFonts w:cs="Times New Roman"/>
          <w:szCs w:val="28"/>
          <w:lang w:val="en-US"/>
        </w:rPr>
        <w:fldChar w:fldCharType="end"/>
      </w:r>
      <w:r>
        <w:rPr>
          <w:rFonts w:cs="Times New Roman"/>
          <w:szCs w:val="28"/>
        </w:rPr>
        <w:t xml:space="preserve">]. «Национальная стратегия развития искусственного интеллекта на период до 2030 года» определила здравоохранение одной из приоритетных отраслей для применения технологий ИИ [2]. </w:t>
      </w:r>
    </w:p>
    <w:p w:rsidR="002C40DB" w:rsidRDefault="00EE69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Российской Федерации растет число компаний-</w:t>
      </w:r>
      <w:r>
        <w:rPr>
          <w:rFonts w:cs="Times New Roman"/>
          <w:szCs w:val="28"/>
        </w:rPr>
        <w:t xml:space="preserve">разработчиков, создающих специализированные системы искусственного интеллекта (далее – СИИ) [3]. При этом из-за особенностей создания таких систем, а также их существенного влияния на общественное здоровье, отдельно взятых пациентов и медицинский персонал </w:t>
      </w:r>
      <w:r>
        <w:rPr>
          <w:rFonts w:cs="Times New Roman"/>
          <w:szCs w:val="28"/>
        </w:rPr>
        <w:t>неизбежно возникают ряд этических проблем [4, 5].</w:t>
      </w:r>
    </w:p>
    <w:p w:rsidR="002C40DB" w:rsidRDefault="00EE694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Настоящий Кодекс предназначен для участников процессов создания, тестирования, </w:t>
      </w:r>
      <w:proofErr w:type="spellStart"/>
      <w:r>
        <w:rPr>
          <w:rFonts w:cs="Times New Roman"/>
          <w:szCs w:val="28"/>
        </w:rPr>
        <w:t>валидации</w:t>
      </w:r>
      <w:proofErr w:type="spellEnd"/>
      <w:r>
        <w:rPr>
          <w:rFonts w:cs="Times New Roman"/>
          <w:szCs w:val="28"/>
        </w:rPr>
        <w:t xml:space="preserve"> и вывода на рынок систем искусственного интеллекта, используемых в сфере здравоохранения (далее – </w:t>
      </w:r>
      <w:proofErr w:type="spellStart"/>
      <w:r>
        <w:rPr>
          <w:rFonts w:cs="Times New Roman"/>
          <w:szCs w:val="28"/>
        </w:rPr>
        <w:t>Акторы</w:t>
      </w:r>
      <w:proofErr w:type="spellEnd"/>
      <w:r>
        <w:rPr>
          <w:rFonts w:cs="Times New Roman"/>
          <w:szCs w:val="28"/>
        </w:rPr>
        <w:t xml:space="preserve"> ИИ). Данный </w:t>
      </w:r>
      <w:r>
        <w:rPr>
          <w:rFonts w:cs="Times New Roman"/>
          <w:szCs w:val="28"/>
        </w:rPr>
        <w:t xml:space="preserve">Кодекс является дополнением к Кодексу этики в сфере искусственного интеллекта [6] и Кодексу профессиональной этики врача Российской Федерации [7] и основывается на принципах, сформулированных в руководстве Всемирной организации </w:t>
      </w:r>
      <w:r>
        <w:rPr>
          <w:rFonts w:cs="Times New Roman"/>
          <w:szCs w:val="28"/>
        </w:rPr>
        <w:lastRenderedPageBreak/>
        <w:t>здравоохранения «Этические п</w:t>
      </w:r>
      <w:r>
        <w:rPr>
          <w:rFonts w:cs="Times New Roman"/>
          <w:szCs w:val="28"/>
        </w:rPr>
        <w:t xml:space="preserve">ринципы и использование искусственного интеллекта в здравоохранении» [8]. </w:t>
      </w:r>
    </w:p>
    <w:p w:rsidR="002C40DB" w:rsidRDefault="00EE694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Целью Кодекса является поддержка </w:t>
      </w:r>
      <w:proofErr w:type="spellStart"/>
      <w:r>
        <w:rPr>
          <w:rFonts w:cs="Times New Roman"/>
          <w:szCs w:val="28"/>
        </w:rPr>
        <w:t>Акторов</w:t>
      </w:r>
      <w:proofErr w:type="spellEnd"/>
      <w:r>
        <w:rPr>
          <w:rFonts w:cs="Times New Roman"/>
          <w:szCs w:val="28"/>
        </w:rPr>
        <w:t xml:space="preserve"> ИИ в принятии решений при разработке СИИ в соответствии с этическими нормами, основанными на моральной философии, научном знании (исследован</w:t>
      </w:r>
      <w:r>
        <w:rPr>
          <w:rFonts w:cs="Times New Roman"/>
          <w:szCs w:val="28"/>
        </w:rPr>
        <w:t xml:space="preserve">иях) и гуманистическом подходе. </w:t>
      </w:r>
    </w:p>
    <w:p w:rsidR="002C40DB" w:rsidRDefault="00EE6944">
      <w:pPr>
        <w:pStyle w:val="2"/>
      </w:pPr>
      <w:r>
        <w:rPr>
          <w:b/>
          <w:bCs/>
        </w:rPr>
        <w:t>ПРИНЦИПЫ ЭТИКИ СОЗДАНИЯ СИСТЕМ ИСКУССТВЕННОГО ИНТЕЛЛЕКТА ДЛЯ ЗДРАВООХРАНЕНИЯ</w:t>
      </w:r>
    </w:p>
    <w:p w:rsidR="002C40DB" w:rsidRDefault="00EE6944">
      <w:pPr>
        <w:rPr>
          <w:rFonts w:cs="Times New Roman"/>
          <w:szCs w:val="28"/>
        </w:rPr>
      </w:pPr>
      <w:r>
        <w:rPr>
          <w:rFonts w:cs="Times New Roman"/>
          <w:szCs w:val="28"/>
        </w:rPr>
        <w:t>Статья 1</w:t>
      </w:r>
    </w:p>
    <w:p w:rsidR="002C40DB" w:rsidRDefault="00EE694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Миссия СИИ состоит в повышении качества и эффективности работы системы здравоохранения, включая сокращение предотвратимой заболеваемости </w:t>
      </w:r>
      <w:r>
        <w:rPr>
          <w:rFonts w:cs="Times New Roman"/>
          <w:szCs w:val="28"/>
        </w:rPr>
        <w:t xml:space="preserve">и смертности, снижение числа дефектов </w:t>
      </w:r>
      <w:r>
        <w:t>при оказании медицинской помощи</w:t>
      </w:r>
      <w:r>
        <w:rPr>
          <w:rFonts w:cs="Times New Roman"/>
          <w:szCs w:val="28"/>
        </w:rPr>
        <w:t>, вовлечение пациентов в управление собственным здоровьем и повышение эффективности цифровой трансформации здравоохранения.</w:t>
      </w:r>
    </w:p>
    <w:p w:rsidR="002C40DB" w:rsidRDefault="00EE6944">
      <w:pPr>
        <w:rPr>
          <w:rFonts w:cs="Times New Roman"/>
          <w:szCs w:val="28"/>
        </w:rPr>
      </w:pPr>
      <w:r>
        <w:rPr>
          <w:rFonts w:cs="Times New Roman"/>
          <w:szCs w:val="28"/>
        </w:rPr>
        <w:t>Статья 2</w:t>
      </w:r>
    </w:p>
    <w:p w:rsidR="002C40DB" w:rsidRDefault="00EE694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Главным принципом создания СИИ является принц</w:t>
      </w:r>
      <w:r>
        <w:rPr>
          <w:rFonts w:cs="Times New Roman"/>
          <w:szCs w:val="28"/>
        </w:rPr>
        <w:t>ип «не навреди». СИИ ни при каких обстоятельствах не должны ухудшать качество и угрожать безопасности оказания медицинской помощи пациентам, а также ограничивать права пациентов на получение гарантированной медицинской помощи.</w:t>
      </w:r>
    </w:p>
    <w:p w:rsidR="002C40DB" w:rsidRDefault="00EE6944">
      <w:pPr>
        <w:rPr>
          <w:rFonts w:cs="Times New Roman"/>
          <w:szCs w:val="28"/>
        </w:rPr>
      </w:pPr>
      <w:r>
        <w:rPr>
          <w:rFonts w:cs="Times New Roman"/>
          <w:szCs w:val="28"/>
        </w:rPr>
        <w:t>Статья 3</w:t>
      </w:r>
    </w:p>
    <w:p w:rsidR="002C40DB" w:rsidRDefault="00EE694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Разработчики СИИ дол</w:t>
      </w:r>
      <w:r>
        <w:rPr>
          <w:rFonts w:cs="Times New Roman"/>
          <w:szCs w:val="28"/>
        </w:rPr>
        <w:t>жны придерживаться этических обязательств и ценностей, которыми руководствуется медицинский персонал в своих действиях по отношению к пациенту в клинической практике, включая Кодекс профессиональной этики врача Российской Федерации.</w:t>
      </w:r>
    </w:p>
    <w:p w:rsidR="002C40DB" w:rsidRDefault="00EE6944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Статья 4</w:t>
      </w:r>
    </w:p>
    <w:p w:rsidR="002C40DB" w:rsidRDefault="00EE694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СИИ должны раз</w:t>
      </w:r>
      <w:r>
        <w:rPr>
          <w:rFonts w:cs="Times New Roman"/>
          <w:szCs w:val="28"/>
        </w:rPr>
        <w:t xml:space="preserve">рабатываться при участии </w:t>
      </w:r>
      <w:r>
        <w:t>медицинских работников – специалистов по соответствующим профилям оказания медицинской помощи и процессам</w:t>
      </w:r>
      <w:r>
        <w:rPr>
          <w:rFonts w:cs="Times New Roman"/>
          <w:szCs w:val="28"/>
        </w:rPr>
        <w:t xml:space="preserve"> организации и оказания медицинской помощи, поддержка которых обеспечивается в СИИ.</w:t>
      </w:r>
    </w:p>
    <w:p w:rsidR="002C40DB" w:rsidRDefault="00EE6944">
      <w:pPr>
        <w:rPr>
          <w:rFonts w:cs="Times New Roman"/>
          <w:szCs w:val="28"/>
        </w:rPr>
      </w:pPr>
      <w:r>
        <w:rPr>
          <w:rFonts w:cs="Times New Roman"/>
          <w:szCs w:val="28"/>
        </w:rPr>
        <w:t>Статья 5</w:t>
      </w:r>
    </w:p>
    <w:p w:rsidR="002C40DB" w:rsidRDefault="00EE694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выводе результатов работы СИИ</w:t>
      </w:r>
      <w:r>
        <w:rPr>
          <w:rFonts w:cs="Times New Roman"/>
          <w:szCs w:val="28"/>
        </w:rPr>
        <w:t xml:space="preserve"> медицинским работникам и иным пользователям они должны быть проинформированы о том, что данные результаты получены с использованием технологий ИИ, а также об имеющихся рисках, связанных с использованием СИИ.</w:t>
      </w:r>
    </w:p>
    <w:p w:rsidR="002C40DB" w:rsidRDefault="00EE6944">
      <w:pPr>
        <w:rPr>
          <w:rFonts w:cs="Times New Roman"/>
          <w:szCs w:val="28"/>
        </w:rPr>
      </w:pPr>
      <w:r>
        <w:rPr>
          <w:rFonts w:cs="Times New Roman"/>
          <w:szCs w:val="28"/>
        </w:rPr>
        <w:t>Статья 6</w:t>
      </w:r>
    </w:p>
    <w:p w:rsidR="002C40DB" w:rsidRDefault="00EE694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всех этапах жизненного цикла СИИ </w:t>
      </w:r>
      <w:proofErr w:type="spellStart"/>
      <w:r>
        <w:rPr>
          <w:rFonts w:cs="Times New Roman"/>
          <w:szCs w:val="28"/>
        </w:rPr>
        <w:t>Ак</w:t>
      </w:r>
      <w:r>
        <w:rPr>
          <w:rFonts w:cs="Times New Roman"/>
          <w:szCs w:val="28"/>
        </w:rPr>
        <w:t>торы</w:t>
      </w:r>
      <w:proofErr w:type="spellEnd"/>
      <w:r>
        <w:rPr>
          <w:rFonts w:cs="Times New Roman"/>
          <w:szCs w:val="28"/>
        </w:rPr>
        <w:t xml:space="preserve"> ИИ должны уважать и защищать неприкосновенность частной жизни и конфиденциальность данных пациентов.</w:t>
      </w:r>
    </w:p>
    <w:p w:rsidR="002C40DB" w:rsidRDefault="00EE6944">
      <w:pPr>
        <w:rPr>
          <w:rFonts w:cs="Times New Roman"/>
          <w:szCs w:val="28"/>
        </w:rPr>
      </w:pPr>
      <w:r>
        <w:rPr>
          <w:rFonts w:cs="Times New Roman"/>
          <w:szCs w:val="28"/>
        </w:rPr>
        <w:t>Статья 7</w:t>
      </w:r>
    </w:p>
    <w:p w:rsidR="002C40DB" w:rsidRDefault="00EE694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После выпуска СИИ на рынок </w:t>
      </w:r>
      <w:proofErr w:type="spellStart"/>
      <w:r>
        <w:rPr>
          <w:rFonts w:cs="Times New Roman"/>
          <w:szCs w:val="28"/>
        </w:rPr>
        <w:t>Акторы</w:t>
      </w:r>
      <w:proofErr w:type="spellEnd"/>
      <w:r>
        <w:rPr>
          <w:rFonts w:cs="Times New Roman"/>
          <w:szCs w:val="28"/>
        </w:rPr>
        <w:t xml:space="preserve"> ИИ должны проводить непрерывный мониторинг работы СИИ, включая контроль ее </w:t>
      </w:r>
      <w:r>
        <w:rPr>
          <w:rFonts w:cs="Times New Roman"/>
          <w:szCs w:val="28"/>
        </w:rPr>
        <w:t xml:space="preserve">точности и качества, а также оценку возможности негативного влияния на отдельно взятых пациентов или группы пациентов. </w:t>
      </w:r>
    </w:p>
    <w:p w:rsidR="002C40DB" w:rsidRDefault="00EE6944">
      <w:pPr>
        <w:rPr>
          <w:rFonts w:cs="Times New Roman"/>
          <w:szCs w:val="28"/>
        </w:rPr>
      </w:pPr>
      <w:r>
        <w:rPr>
          <w:rFonts w:cs="Times New Roman"/>
          <w:szCs w:val="28"/>
        </w:rPr>
        <w:t>Статья 8</w:t>
      </w:r>
    </w:p>
    <w:p w:rsidR="002C40DB" w:rsidRDefault="00EE694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создании СИИ должны быть приняты все доступные меры для исключения возможности стигматизации и, как следствие, дискриминации пациентов и групп пациентов из-за их состояния здоровья. Никакие СИИ в здравоохранении не должны поддерживать или усугублять су</w:t>
      </w:r>
      <w:r>
        <w:rPr>
          <w:rFonts w:cs="Times New Roman"/>
          <w:szCs w:val="28"/>
        </w:rPr>
        <w:t>ществующие формы стигматизации.</w:t>
      </w:r>
    </w:p>
    <w:p w:rsidR="002C40DB" w:rsidRDefault="002C40DB">
      <w:pPr>
        <w:jc w:val="both"/>
        <w:rPr>
          <w:rFonts w:cs="Times New Roman"/>
          <w:szCs w:val="28"/>
        </w:rPr>
      </w:pPr>
    </w:p>
    <w:p w:rsidR="002C40DB" w:rsidRDefault="00EE6944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Статья 9</w:t>
      </w:r>
    </w:p>
    <w:p w:rsidR="002C40DB" w:rsidRDefault="00EE6944">
      <w:pPr>
        <w:pStyle w:val="af3"/>
        <w:jc w:val="both"/>
        <w:rPr>
          <w:color w:val="191919"/>
          <w:szCs w:val="28"/>
        </w:rPr>
      </w:pPr>
      <w:proofErr w:type="spellStart"/>
      <w:r>
        <w:rPr>
          <w:color w:val="191919"/>
          <w:szCs w:val="28"/>
        </w:rPr>
        <w:t>Акторы</w:t>
      </w:r>
      <w:proofErr w:type="spellEnd"/>
      <w:r>
        <w:rPr>
          <w:color w:val="191919"/>
          <w:szCs w:val="28"/>
        </w:rPr>
        <w:t xml:space="preserve"> ИИ должны стремиться к максимально возможной прозрачности и объяснимости работы СИИ. Это необходимо для минимизации ошибок и облегчения надзора за такими системами, в частности для пострегистрационного монит</w:t>
      </w:r>
      <w:r>
        <w:rPr>
          <w:color w:val="191919"/>
          <w:szCs w:val="28"/>
        </w:rPr>
        <w:t xml:space="preserve">оринга. </w:t>
      </w:r>
    </w:p>
    <w:p w:rsidR="002C40DB" w:rsidRDefault="00EE6944">
      <w:pPr>
        <w:rPr>
          <w:rFonts w:cs="Times New Roman"/>
          <w:szCs w:val="28"/>
        </w:rPr>
      </w:pPr>
      <w:r>
        <w:rPr>
          <w:rFonts w:cs="Times New Roman"/>
          <w:szCs w:val="28"/>
        </w:rPr>
        <w:t>Статья 10</w:t>
      </w:r>
    </w:p>
    <w:p w:rsidR="002C40DB" w:rsidRDefault="00EE6944">
      <w:pPr>
        <w:pStyle w:val="af3"/>
        <w:jc w:val="both"/>
        <w:rPr>
          <w:color w:val="191919"/>
          <w:szCs w:val="28"/>
        </w:rPr>
      </w:pPr>
      <w:proofErr w:type="spellStart"/>
      <w:r>
        <w:rPr>
          <w:color w:val="191919"/>
          <w:szCs w:val="28"/>
        </w:rPr>
        <w:t>Акторы</w:t>
      </w:r>
      <w:proofErr w:type="spellEnd"/>
      <w:r>
        <w:rPr>
          <w:color w:val="191919"/>
          <w:szCs w:val="28"/>
        </w:rPr>
        <w:t xml:space="preserve"> ИИ должны публиковать результаты разработки и </w:t>
      </w:r>
      <w:proofErr w:type="spellStart"/>
      <w:r>
        <w:rPr>
          <w:color w:val="191919"/>
          <w:szCs w:val="28"/>
        </w:rPr>
        <w:t>валидации</w:t>
      </w:r>
      <w:proofErr w:type="spellEnd"/>
      <w:r>
        <w:rPr>
          <w:color w:val="191919"/>
          <w:szCs w:val="28"/>
        </w:rPr>
        <w:t xml:space="preserve"> СИИ в открытой научной литературе, обеспечивая тем самым доверие к таким системам и прозрачность метрик качества и точности работы ИИ, а также зрелость используемых техническ</w:t>
      </w:r>
      <w:r>
        <w:rPr>
          <w:color w:val="191919"/>
          <w:szCs w:val="28"/>
        </w:rPr>
        <w:t>их подх</w:t>
      </w:r>
      <w:r w:rsidR="00E05421">
        <w:rPr>
          <w:color w:val="191919"/>
          <w:szCs w:val="28"/>
        </w:rPr>
        <w:t xml:space="preserve">одов, архитектур, </w:t>
      </w:r>
      <w:proofErr w:type="spellStart"/>
      <w:r w:rsidR="00E05421">
        <w:rPr>
          <w:color w:val="191919"/>
          <w:szCs w:val="28"/>
        </w:rPr>
        <w:t>фреймворков</w:t>
      </w:r>
      <w:proofErr w:type="spellEnd"/>
      <w:r w:rsidR="00E05421">
        <w:rPr>
          <w:color w:val="191919"/>
          <w:szCs w:val="28"/>
        </w:rPr>
        <w:t xml:space="preserve"> и </w:t>
      </w:r>
      <w:bookmarkStart w:id="0" w:name="_GoBack"/>
      <w:bookmarkEnd w:id="0"/>
      <w:r>
        <w:rPr>
          <w:color w:val="191919"/>
          <w:szCs w:val="28"/>
        </w:rPr>
        <w:t>т. д.</w:t>
      </w:r>
    </w:p>
    <w:p w:rsidR="002C40DB" w:rsidRDefault="00EE6944">
      <w:pPr>
        <w:rPr>
          <w:rFonts w:cs="Times New Roman"/>
          <w:szCs w:val="28"/>
        </w:rPr>
      </w:pPr>
      <w:r>
        <w:rPr>
          <w:rFonts w:cs="Times New Roman"/>
          <w:szCs w:val="28"/>
        </w:rPr>
        <w:t>Статья 11</w:t>
      </w:r>
    </w:p>
    <w:p w:rsidR="002C40DB" w:rsidRDefault="00EE6944">
      <w:pPr>
        <w:pStyle w:val="af3"/>
        <w:jc w:val="both"/>
        <w:rPr>
          <w:color w:val="191919"/>
          <w:szCs w:val="28"/>
        </w:rPr>
      </w:pPr>
      <w:proofErr w:type="spellStart"/>
      <w:r>
        <w:rPr>
          <w:color w:val="191919"/>
          <w:szCs w:val="28"/>
        </w:rPr>
        <w:t>Акторам</w:t>
      </w:r>
      <w:proofErr w:type="spellEnd"/>
      <w:r>
        <w:rPr>
          <w:color w:val="191919"/>
          <w:szCs w:val="28"/>
        </w:rPr>
        <w:t xml:space="preserve"> ИИ необходимо искать баланс между полной объяснимостью алгоритма (если это происходит за счет потери точности) и повышением точности (если это происходит за счет потери объяснимости работы данн</w:t>
      </w:r>
      <w:r>
        <w:rPr>
          <w:color w:val="191919"/>
          <w:szCs w:val="28"/>
        </w:rPr>
        <w:t xml:space="preserve">ого алгоритма). </w:t>
      </w:r>
    </w:p>
    <w:p w:rsidR="002C40DB" w:rsidRDefault="00EE6944">
      <w:pPr>
        <w:rPr>
          <w:rFonts w:cs="Times New Roman"/>
          <w:szCs w:val="28"/>
        </w:rPr>
      </w:pPr>
      <w:r>
        <w:rPr>
          <w:rFonts w:cs="Times New Roman"/>
          <w:szCs w:val="28"/>
        </w:rPr>
        <w:t>Статья 12</w:t>
      </w:r>
    </w:p>
    <w:p w:rsidR="002C40DB" w:rsidRDefault="00EE6944">
      <w:pPr>
        <w:pStyle w:val="af3"/>
        <w:jc w:val="both"/>
        <w:rPr>
          <w:color w:val="191919"/>
          <w:szCs w:val="28"/>
        </w:rPr>
      </w:pPr>
      <w:proofErr w:type="spellStart"/>
      <w:r>
        <w:rPr>
          <w:color w:val="191919"/>
          <w:szCs w:val="28"/>
        </w:rPr>
        <w:t>Акторы</w:t>
      </w:r>
      <w:proofErr w:type="spellEnd"/>
      <w:r>
        <w:rPr>
          <w:color w:val="191919"/>
          <w:szCs w:val="28"/>
        </w:rPr>
        <w:t xml:space="preserve"> ИИ должны убедиться в том, что СИИ будут сохранять заявленные метрики качества работы во всех условиях применения (субъектах РФ, медицинских организациях), поддерживаемых производителем.</w:t>
      </w:r>
    </w:p>
    <w:p w:rsidR="002C40DB" w:rsidRDefault="00EE6944">
      <w:pPr>
        <w:rPr>
          <w:rFonts w:cs="Times New Roman"/>
          <w:szCs w:val="28"/>
        </w:rPr>
      </w:pPr>
      <w:r>
        <w:rPr>
          <w:rFonts w:cs="Times New Roman"/>
          <w:szCs w:val="28"/>
        </w:rPr>
        <w:t>Статья 13</w:t>
      </w:r>
    </w:p>
    <w:p w:rsidR="002C40DB" w:rsidRDefault="00EE6944">
      <w:pPr>
        <w:pStyle w:val="af3"/>
        <w:jc w:val="both"/>
        <w:rPr>
          <w:color w:val="191919"/>
          <w:szCs w:val="28"/>
        </w:rPr>
      </w:pPr>
      <w:r>
        <w:rPr>
          <w:color w:val="191919"/>
          <w:szCs w:val="28"/>
        </w:rPr>
        <w:t>На этапе технических и кл</w:t>
      </w:r>
      <w:r>
        <w:rPr>
          <w:color w:val="191919"/>
          <w:szCs w:val="28"/>
        </w:rPr>
        <w:t xml:space="preserve">инических испытаний </w:t>
      </w:r>
      <w:proofErr w:type="spellStart"/>
      <w:r>
        <w:rPr>
          <w:color w:val="191919"/>
          <w:szCs w:val="28"/>
        </w:rPr>
        <w:t>Акторы</w:t>
      </w:r>
      <w:proofErr w:type="spellEnd"/>
      <w:r>
        <w:rPr>
          <w:color w:val="191919"/>
          <w:szCs w:val="28"/>
        </w:rPr>
        <w:t xml:space="preserve"> ИИ должны выявлять, избегать и своевременно устранять систематические ошибки в СИИ, т. к. такие ошибки могут повлечь за собой неравенство в качестве </w:t>
      </w:r>
      <w:r>
        <w:rPr>
          <w:color w:val="191919"/>
          <w:szCs w:val="28"/>
        </w:rPr>
        <w:lastRenderedPageBreak/>
        <w:t>оказываемых медицинских услуг и негативно повлиять на отдельные группы населения</w:t>
      </w:r>
      <w:r>
        <w:rPr>
          <w:color w:val="191919"/>
          <w:szCs w:val="28"/>
        </w:rPr>
        <w:t xml:space="preserve">. </w:t>
      </w:r>
    </w:p>
    <w:p w:rsidR="002C40DB" w:rsidRDefault="00EE6944">
      <w:pPr>
        <w:rPr>
          <w:rFonts w:cs="Times New Roman"/>
          <w:szCs w:val="28"/>
        </w:rPr>
      </w:pPr>
      <w:r>
        <w:rPr>
          <w:rFonts w:cs="Times New Roman"/>
          <w:szCs w:val="28"/>
        </w:rPr>
        <w:t>Статья 14</w:t>
      </w:r>
    </w:p>
    <w:p w:rsidR="002C40DB" w:rsidRDefault="00EE6944">
      <w:pPr>
        <w:pStyle w:val="af3"/>
        <w:jc w:val="both"/>
        <w:rPr>
          <w:color w:val="191919"/>
          <w:szCs w:val="28"/>
        </w:rPr>
      </w:pPr>
      <w:proofErr w:type="spellStart"/>
      <w:r>
        <w:rPr>
          <w:color w:val="191919"/>
          <w:szCs w:val="28"/>
        </w:rPr>
        <w:t>Акторы</w:t>
      </w:r>
      <w:proofErr w:type="spellEnd"/>
      <w:r>
        <w:rPr>
          <w:color w:val="191919"/>
          <w:szCs w:val="28"/>
        </w:rPr>
        <w:t xml:space="preserve"> ИИ не должны допускать применение в рамках технических и клинических испытаний наборов данных, использованных ими для обучения и тестирования моделей ИИ, включая предоставление таких или иных наборов данных организациям, участвующим в п</w:t>
      </w:r>
      <w:r>
        <w:rPr>
          <w:color w:val="191919"/>
          <w:szCs w:val="28"/>
        </w:rPr>
        <w:t>роведении любых видов внешних испытаний.</w:t>
      </w:r>
    </w:p>
    <w:p w:rsidR="002C40DB" w:rsidRDefault="00EE6944">
      <w:pPr>
        <w:rPr>
          <w:rFonts w:cs="Times New Roman"/>
          <w:szCs w:val="28"/>
        </w:rPr>
      </w:pPr>
      <w:r>
        <w:rPr>
          <w:rFonts w:cs="Times New Roman"/>
          <w:szCs w:val="28"/>
        </w:rPr>
        <w:t>Статья 15</w:t>
      </w:r>
    </w:p>
    <w:p w:rsidR="002C40DB" w:rsidRDefault="00EE6944">
      <w:pPr>
        <w:pStyle w:val="af3"/>
        <w:jc w:val="both"/>
        <w:rPr>
          <w:color w:val="191919"/>
          <w:szCs w:val="28"/>
        </w:rPr>
      </w:pPr>
      <w:proofErr w:type="spellStart"/>
      <w:r>
        <w:rPr>
          <w:color w:val="191919"/>
          <w:szCs w:val="28"/>
        </w:rPr>
        <w:t>Акторы</w:t>
      </w:r>
      <w:proofErr w:type="spellEnd"/>
      <w:r>
        <w:rPr>
          <w:color w:val="191919"/>
          <w:szCs w:val="28"/>
        </w:rPr>
        <w:t xml:space="preserve"> ИИ должны обеспечить репрезентативность и качество наборов данных, используемых для разработки и тестирования СИИ.</w:t>
      </w:r>
    </w:p>
    <w:p w:rsidR="002C40DB" w:rsidRDefault="00EE6944">
      <w:pPr>
        <w:rPr>
          <w:rFonts w:cs="Times New Roman"/>
          <w:szCs w:val="28"/>
        </w:rPr>
      </w:pPr>
      <w:r>
        <w:rPr>
          <w:rFonts w:cs="Times New Roman"/>
          <w:szCs w:val="28"/>
        </w:rPr>
        <w:t>Статья 16</w:t>
      </w:r>
    </w:p>
    <w:p w:rsidR="002C40DB" w:rsidRDefault="00EE6944">
      <w:pPr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 w:themeColor="text1"/>
          <w:szCs w:val="28"/>
        </w:rPr>
        <w:t>Акторы</w:t>
      </w:r>
      <w:proofErr w:type="spellEnd"/>
      <w:r>
        <w:rPr>
          <w:rFonts w:cs="Times New Roman"/>
          <w:color w:val="000000" w:themeColor="text1"/>
          <w:szCs w:val="28"/>
        </w:rPr>
        <w:t xml:space="preserve"> ИИ должны разрабатывать программы обучения для врачей и других мед</w:t>
      </w:r>
      <w:r>
        <w:rPr>
          <w:rFonts w:cs="Times New Roman"/>
          <w:color w:val="000000" w:themeColor="text1"/>
          <w:szCs w:val="28"/>
        </w:rPr>
        <w:t xml:space="preserve">ицинских работников и помогать активно внедрять и практиковать использование технологий ИИ. </w:t>
      </w:r>
    </w:p>
    <w:p w:rsidR="002C40DB" w:rsidRDefault="00EE6944">
      <w:pPr>
        <w:rPr>
          <w:rFonts w:cs="Times New Roman"/>
          <w:szCs w:val="28"/>
        </w:rPr>
      </w:pPr>
      <w:r>
        <w:rPr>
          <w:rFonts w:cs="Times New Roman"/>
          <w:szCs w:val="28"/>
        </w:rPr>
        <w:t>Статья 17</w:t>
      </w:r>
    </w:p>
    <w:p w:rsidR="002C40DB" w:rsidRDefault="00EE6944">
      <w:pPr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 w:themeColor="text1"/>
          <w:szCs w:val="28"/>
        </w:rPr>
        <w:t>Акторы</w:t>
      </w:r>
      <w:proofErr w:type="spellEnd"/>
      <w:r>
        <w:rPr>
          <w:rFonts w:cs="Times New Roman"/>
          <w:color w:val="000000" w:themeColor="text1"/>
          <w:szCs w:val="28"/>
        </w:rPr>
        <w:t xml:space="preserve"> ИИ должны способствовать </w:t>
      </w:r>
      <w:r>
        <w:t>повышению информированности пациентов (законных представителей) и приобретению ими необходимых знаний о работе и применен</w:t>
      </w:r>
      <w:r>
        <w:t>ии технологий ИИ в медицине и здравоохранении</w:t>
      </w:r>
      <w:r>
        <w:rPr>
          <w:rFonts w:cs="Times New Roman"/>
          <w:color w:val="000000" w:themeColor="text1"/>
          <w:szCs w:val="28"/>
        </w:rPr>
        <w:t>.</w:t>
      </w:r>
    </w:p>
    <w:p w:rsidR="002C40DB" w:rsidRDefault="00EE6944">
      <w:pPr>
        <w:rPr>
          <w:rFonts w:cs="Times New Roman"/>
          <w:szCs w:val="28"/>
        </w:rPr>
      </w:pPr>
      <w:r>
        <w:rPr>
          <w:rFonts w:cs="Times New Roman"/>
          <w:szCs w:val="28"/>
        </w:rPr>
        <w:t>Статья 18</w:t>
      </w:r>
    </w:p>
    <w:p w:rsidR="002C40DB" w:rsidRDefault="00EE6944">
      <w:pPr>
        <w:pStyle w:val="af3"/>
        <w:jc w:val="both"/>
        <w:rPr>
          <w:color w:val="191919"/>
          <w:szCs w:val="28"/>
        </w:rPr>
      </w:pPr>
      <w:proofErr w:type="spellStart"/>
      <w:r>
        <w:rPr>
          <w:color w:val="191919"/>
          <w:szCs w:val="28"/>
        </w:rPr>
        <w:t>Акторы</w:t>
      </w:r>
      <w:proofErr w:type="spellEnd"/>
      <w:r>
        <w:rPr>
          <w:color w:val="191919"/>
          <w:szCs w:val="28"/>
        </w:rPr>
        <w:t xml:space="preserve"> ИИ должны следить за новейшими </w:t>
      </w:r>
      <w:r>
        <w:t xml:space="preserve">за новейшими технологиями </w:t>
      </w:r>
      <w:r>
        <w:rPr>
          <w:color w:val="191919"/>
          <w:szCs w:val="28"/>
        </w:rPr>
        <w:t xml:space="preserve">и результатами научных исследований в области ИИ для здравоохранения, анализировать возникающие с ними возможности по улучшению </w:t>
      </w:r>
      <w:r>
        <w:rPr>
          <w:color w:val="191919"/>
          <w:szCs w:val="28"/>
        </w:rPr>
        <w:lastRenderedPageBreak/>
        <w:t>создава</w:t>
      </w:r>
      <w:r>
        <w:rPr>
          <w:color w:val="191919"/>
          <w:szCs w:val="28"/>
        </w:rPr>
        <w:t xml:space="preserve">емых продуктов, а также выявляемые этические дилеммы и совместно предлагать пути их решения. </w:t>
      </w:r>
    </w:p>
    <w:p w:rsidR="002C40DB" w:rsidRDefault="00EE6944">
      <w:pPr>
        <w:spacing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 w:clear="all"/>
      </w:r>
    </w:p>
    <w:p w:rsidR="002C40DB" w:rsidRDefault="00EE6944">
      <w:pPr>
        <w:pStyle w:val="2"/>
      </w:pPr>
      <w:r>
        <w:lastRenderedPageBreak/>
        <w:t>БИБЛИОГРАФИЯ</w:t>
      </w:r>
    </w:p>
    <w:p w:rsidR="002C40DB" w:rsidRDefault="00EE6944">
      <w:pPr>
        <w:pStyle w:val="af2"/>
        <w:numPr>
          <w:ilvl w:val="0"/>
          <w:numId w:val="11"/>
        </w:numPr>
        <w:ind w:left="714" w:hanging="357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Серрато</w:t>
      </w:r>
      <w:proofErr w:type="spellEnd"/>
      <w:r>
        <w:rPr>
          <w:rFonts w:cs="Times New Roman"/>
          <w:szCs w:val="28"/>
        </w:rPr>
        <w:t xml:space="preserve"> П., </w:t>
      </w:r>
      <w:proofErr w:type="spellStart"/>
      <w:r>
        <w:rPr>
          <w:rFonts w:cs="Times New Roman"/>
          <w:szCs w:val="28"/>
        </w:rPr>
        <w:t>Халамка</w:t>
      </w:r>
      <w:proofErr w:type="spellEnd"/>
      <w:r>
        <w:rPr>
          <w:rFonts w:cs="Times New Roman"/>
          <w:szCs w:val="28"/>
        </w:rPr>
        <w:t xml:space="preserve"> Д. Цифровая трансформация здравоохранения. Переход от традиционной к виртуальной медицинской </w:t>
      </w:r>
      <w:proofErr w:type="gramStart"/>
      <w:r>
        <w:rPr>
          <w:rFonts w:cs="Times New Roman"/>
          <w:szCs w:val="28"/>
        </w:rPr>
        <w:t>помощи :</w:t>
      </w:r>
      <w:proofErr w:type="gramEnd"/>
      <w:r>
        <w:rPr>
          <w:rFonts w:cs="Times New Roman"/>
          <w:szCs w:val="28"/>
        </w:rPr>
        <w:t xml:space="preserve"> монография. </w:t>
      </w:r>
      <w:proofErr w:type="gramStart"/>
      <w:r>
        <w:rPr>
          <w:rFonts w:cs="Times New Roman"/>
          <w:szCs w:val="28"/>
        </w:rPr>
        <w:t>М. :</w:t>
      </w:r>
      <w:proofErr w:type="gramEnd"/>
      <w:r>
        <w:rPr>
          <w:rFonts w:cs="Times New Roman"/>
          <w:szCs w:val="28"/>
        </w:rPr>
        <w:t xml:space="preserve"> ГЭОТАР-Медиа, 2022. 192 с. ISBN 978-5-9704-7007</w:t>
      </w:r>
      <w:r>
        <w:rPr>
          <w:rFonts w:cs="Times New Roman"/>
          <w:szCs w:val="28"/>
        </w:rPr>
        <w:noBreakHyphen/>
        <w:t>7. DOI: 10.33029/9704-7007-7-DRH-2022-1-192. EDN SBSGNY.</w:t>
      </w:r>
    </w:p>
    <w:p w:rsidR="002C40DB" w:rsidRDefault="00EE6944">
      <w:pPr>
        <w:pStyle w:val="af2"/>
        <w:numPr>
          <w:ilvl w:val="0"/>
          <w:numId w:val="11"/>
        </w:numPr>
        <w:ind w:left="714" w:hanging="35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Указ Президента РФ от 07.05.2018 № 204 «О национальных целях и стратегических задачах развития Российской Федерации на период до 2024 года» // </w:t>
      </w:r>
      <w:r>
        <w:t>Офи</w:t>
      </w:r>
      <w:r>
        <w:t>циальный интернет-портал</w:t>
      </w:r>
      <w:r>
        <w:br/>
        <w:t>правовой информации : [сайт]. РФ, 2005–2023.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URL</w:t>
      </w:r>
      <w:r>
        <w:rPr>
          <w:rFonts w:cs="Times New Roman"/>
          <w:szCs w:val="28"/>
        </w:rPr>
        <w:t xml:space="preserve">: </w:t>
      </w:r>
      <w:hyperlink r:id="rId9" w:tooltip="http://publication.pravo.gov.ru/Document/View/0001201805070038" w:history="1">
        <w:r>
          <w:rPr>
            <w:rStyle w:val="af4"/>
            <w:rFonts w:cs="Times New Roman"/>
            <w:color w:val="auto"/>
            <w:szCs w:val="28"/>
            <w:u w:val="none"/>
          </w:rPr>
          <w:t>http://publication.pravo.gov.ru/Do</w:t>
        </w:r>
        <w:r>
          <w:rPr>
            <w:rStyle w:val="af4"/>
            <w:rFonts w:cs="Times New Roman"/>
            <w:color w:val="auto"/>
            <w:szCs w:val="28"/>
            <w:u w:val="none"/>
          </w:rPr>
          <w:t>cument/View/0001201805070038</w:t>
        </w:r>
      </w:hyperlink>
      <w:r>
        <w:rPr>
          <w:rFonts w:cs="Times New Roman"/>
          <w:szCs w:val="28"/>
        </w:rPr>
        <w:t>.</w:t>
      </w:r>
    </w:p>
    <w:p w:rsidR="002C40DB" w:rsidRDefault="00EE6944">
      <w:pPr>
        <w:pStyle w:val="af2"/>
        <w:numPr>
          <w:ilvl w:val="0"/>
          <w:numId w:val="11"/>
        </w:numPr>
        <w:jc w:val="both"/>
        <w:rPr>
          <w:rFonts w:eastAsia="Times New Roman" w:cs="Times New Roman"/>
          <w:szCs w:val="28"/>
          <w:lang w:eastAsia="en-GB"/>
        </w:rPr>
      </w:pPr>
      <w:r>
        <w:rPr>
          <w:rFonts w:cs="Times New Roman"/>
          <w:szCs w:val="28"/>
        </w:rPr>
        <w:t xml:space="preserve">Гусев А. В., </w:t>
      </w:r>
      <w:proofErr w:type="spellStart"/>
      <w:r>
        <w:rPr>
          <w:rFonts w:cs="Times New Roman"/>
          <w:szCs w:val="28"/>
        </w:rPr>
        <w:t>Владзимирский</w:t>
      </w:r>
      <w:proofErr w:type="spellEnd"/>
      <w:r>
        <w:rPr>
          <w:rFonts w:cs="Times New Roman"/>
          <w:szCs w:val="28"/>
        </w:rPr>
        <w:t xml:space="preserve"> А. В., </w:t>
      </w:r>
      <w:proofErr w:type="spellStart"/>
      <w:r>
        <w:rPr>
          <w:rFonts w:cs="Times New Roman"/>
          <w:szCs w:val="28"/>
        </w:rPr>
        <w:t>Шарова</w:t>
      </w:r>
      <w:proofErr w:type="spellEnd"/>
      <w:r>
        <w:rPr>
          <w:rFonts w:cs="Times New Roman"/>
          <w:szCs w:val="28"/>
        </w:rPr>
        <w:t xml:space="preserve"> Д. Е. [и др.]. </w:t>
      </w:r>
      <w:r>
        <w:rPr>
          <w:rFonts w:cs="Times New Roman"/>
          <w:szCs w:val="28"/>
        </w:rPr>
        <w:t xml:space="preserve">Развитие исследований и разработок в сфере технологий искусственного интеллекта для здравоохранения в Российской Федерации: итоги 2021 года // </w:t>
      </w:r>
      <w:proofErr w:type="spellStart"/>
      <w:r>
        <w:rPr>
          <w:rFonts w:cs="Times New Roman"/>
          <w:szCs w:val="28"/>
        </w:rPr>
        <w:t>Digital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Diagnostics</w:t>
      </w:r>
      <w:proofErr w:type="spellEnd"/>
      <w:r>
        <w:rPr>
          <w:rFonts w:cs="Times New Roman"/>
          <w:szCs w:val="28"/>
        </w:rPr>
        <w:t xml:space="preserve">. 2022. Т. 3. № 3. С. 33−49. DOI: </w:t>
      </w:r>
      <w:hyperlink r:id="rId10" w:tooltip="https://doi.org/10.17816/DD107367" w:history="1">
        <w:r>
          <w:rPr>
            <w:rStyle w:val="af4"/>
            <w:rFonts w:cs="Times New Roman"/>
            <w:color w:val="auto"/>
            <w:szCs w:val="28"/>
            <w:u w:val="none"/>
          </w:rPr>
          <w:t>https://doi.org/10.17816/DD107367</w:t>
        </w:r>
      </w:hyperlink>
      <w:r>
        <w:rPr>
          <w:rFonts w:eastAsia="Times New Roman" w:cs="Times New Roman"/>
          <w:szCs w:val="28"/>
          <w:lang w:eastAsia="en-GB"/>
        </w:rPr>
        <w:t xml:space="preserve">. </w:t>
      </w:r>
    </w:p>
    <w:p w:rsidR="002C40DB" w:rsidRDefault="00EE6944">
      <w:pPr>
        <w:pStyle w:val="af2"/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en-GB"/>
        </w:rPr>
      </w:pPr>
      <w:proofErr w:type="spellStart"/>
      <w:r>
        <w:rPr>
          <w:rFonts w:eastAsia="Times New Roman" w:cs="Times New Roman"/>
          <w:szCs w:val="28"/>
          <w:lang w:eastAsia="en-GB"/>
        </w:rPr>
        <w:t>Шарова</w:t>
      </w:r>
      <w:proofErr w:type="spellEnd"/>
      <w:r>
        <w:rPr>
          <w:rFonts w:eastAsia="Times New Roman" w:cs="Times New Roman"/>
          <w:szCs w:val="28"/>
          <w:lang w:eastAsia="en-GB"/>
        </w:rPr>
        <w:t xml:space="preserve"> Д. Е., Зинченко В. В., Ахмад Е. С. </w:t>
      </w:r>
      <w:r>
        <w:rPr>
          <w:rFonts w:cs="Times New Roman"/>
          <w:szCs w:val="28"/>
        </w:rPr>
        <w:t xml:space="preserve">[и др.]. </w:t>
      </w:r>
      <w:r>
        <w:rPr>
          <w:rFonts w:eastAsia="Times New Roman" w:cs="Times New Roman"/>
          <w:szCs w:val="28"/>
          <w:lang w:eastAsia="en-GB"/>
        </w:rPr>
        <w:t xml:space="preserve">К вопросу об этических аспектах внедрения систем искусственного интеллекта в здравоохранении // </w:t>
      </w:r>
      <w:proofErr w:type="spellStart"/>
      <w:r>
        <w:rPr>
          <w:rFonts w:eastAsia="Times New Roman" w:cs="Times New Roman"/>
          <w:iCs/>
          <w:szCs w:val="28"/>
          <w:lang w:eastAsia="en-GB"/>
        </w:rPr>
        <w:t>Digital</w:t>
      </w:r>
      <w:proofErr w:type="spellEnd"/>
      <w:r>
        <w:rPr>
          <w:rFonts w:eastAsia="Times New Roman" w:cs="Times New Roman"/>
          <w:iCs/>
          <w:szCs w:val="28"/>
          <w:lang w:eastAsia="en-GB"/>
        </w:rPr>
        <w:t xml:space="preserve"> </w:t>
      </w:r>
      <w:proofErr w:type="spellStart"/>
      <w:r>
        <w:rPr>
          <w:rFonts w:eastAsia="Times New Roman" w:cs="Times New Roman"/>
          <w:iCs/>
          <w:szCs w:val="28"/>
          <w:lang w:eastAsia="en-GB"/>
        </w:rPr>
        <w:t>Diagnostics</w:t>
      </w:r>
      <w:proofErr w:type="spellEnd"/>
      <w:r>
        <w:rPr>
          <w:rFonts w:eastAsia="Times New Roman" w:cs="Times New Roman"/>
          <w:szCs w:val="28"/>
          <w:lang w:eastAsia="en-GB"/>
        </w:rPr>
        <w:t>. 2021. Т. 2. № 3. С. 356</w:t>
      </w:r>
      <w:r>
        <w:rPr>
          <w:rFonts w:eastAsia="Times New Roman" w:cs="Times New Roman"/>
          <w:szCs w:val="28"/>
          <w:lang w:eastAsia="en-GB"/>
        </w:rPr>
        <w:t xml:space="preserve">−368. DOI: </w:t>
      </w:r>
      <w:hyperlink r:id="rId11" w:tooltip="https://doi.org/10.17816/DD77446" w:history="1">
        <w:r>
          <w:rPr>
            <w:rStyle w:val="af4"/>
            <w:rFonts w:eastAsia="Times New Roman" w:cs="Times New Roman"/>
            <w:color w:val="auto"/>
            <w:szCs w:val="28"/>
            <w:u w:val="none"/>
            <w:lang w:eastAsia="en-GB"/>
          </w:rPr>
          <w:t>https://doi.org/10.17816/DD77446</w:t>
        </w:r>
      </w:hyperlink>
      <w:r>
        <w:rPr>
          <w:rStyle w:val="af4"/>
          <w:rFonts w:eastAsia="Times New Roman" w:cs="Times New Roman"/>
          <w:color w:val="auto"/>
          <w:szCs w:val="28"/>
          <w:u w:val="none"/>
          <w:lang w:eastAsia="en-GB"/>
        </w:rPr>
        <w:t>.</w:t>
      </w:r>
    </w:p>
    <w:p w:rsidR="002C40DB" w:rsidRDefault="00EE6944">
      <w:pPr>
        <w:pStyle w:val="af2"/>
        <w:numPr>
          <w:ilvl w:val="0"/>
          <w:numId w:val="1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Гусев А. В., Астапенко Е. М., Иванов И. В. [и др.]. Принципы формирования доверия к системам искусственного интеллекта для з</w:t>
      </w:r>
      <w:r>
        <w:rPr>
          <w:rFonts w:cs="Times New Roman"/>
          <w:szCs w:val="28"/>
        </w:rPr>
        <w:t xml:space="preserve">дравоохранения </w:t>
      </w:r>
      <w:r>
        <w:rPr>
          <w:rFonts w:cs="Times New Roman"/>
          <w:sz w:val="32"/>
          <w:szCs w:val="28"/>
        </w:rPr>
        <w:t>//</w:t>
      </w:r>
      <w:r>
        <w:rPr>
          <w:rFonts w:cs="Times New Roman"/>
          <w:szCs w:val="28"/>
        </w:rPr>
        <w:t xml:space="preserve"> Вестник Росздравнадзора. 2022. № 2. С. 25–33.</w:t>
      </w:r>
    </w:p>
    <w:p w:rsidR="002C40DB" w:rsidRDefault="00EE6944">
      <w:pPr>
        <w:pStyle w:val="af2"/>
        <w:numPr>
          <w:ilvl w:val="0"/>
          <w:numId w:val="1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Кодекс этики в сфере искусственного интеллекта (принят 26.10.2021) // Альянс в сфере </w:t>
      </w:r>
      <w:proofErr w:type="gramStart"/>
      <w:r>
        <w:rPr>
          <w:rFonts w:cs="Times New Roman"/>
          <w:szCs w:val="28"/>
        </w:rPr>
        <w:t>ИИ :</w:t>
      </w:r>
      <w:proofErr w:type="gramEnd"/>
      <w:r>
        <w:rPr>
          <w:rFonts w:cs="Times New Roman"/>
          <w:szCs w:val="28"/>
        </w:rPr>
        <w:t xml:space="preserve"> [сайт]. </w:t>
      </w:r>
      <w:r>
        <w:rPr>
          <w:rFonts w:cs="Times New Roman"/>
          <w:szCs w:val="28"/>
          <w:lang w:val="en-US"/>
        </w:rPr>
        <w:t>URL</w:t>
      </w:r>
      <w:r>
        <w:rPr>
          <w:rFonts w:cs="Times New Roman"/>
          <w:szCs w:val="28"/>
        </w:rPr>
        <w:t xml:space="preserve">: </w:t>
      </w:r>
      <w:hyperlink r:id="rId12" w:tooltip="https://a-ai.ru/ethics/index.html" w:history="1">
        <w:r>
          <w:rPr>
            <w:rStyle w:val="af4"/>
            <w:rFonts w:cs="Times New Roman"/>
            <w:color w:val="auto"/>
            <w:szCs w:val="28"/>
            <w:u w:val="none"/>
          </w:rPr>
          <w:t>https://a-ai.ru/ethics/index.html</w:t>
        </w:r>
      </w:hyperlink>
      <w:r>
        <w:rPr>
          <w:rStyle w:val="af4"/>
          <w:rFonts w:cs="Times New Roman"/>
          <w:color w:val="auto"/>
          <w:szCs w:val="28"/>
          <w:u w:val="none"/>
        </w:rPr>
        <w:t>.</w:t>
      </w:r>
    </w:p>
    <w:p w:rsidR="002C40DB" w:rsidRDefault="00EE6944">
      <w:pPr>
        <w:pStyle w:val="af2"/>
        <w:numPr>
          <w:ilvl w:val="0"/>
          <w:numId w:val="11"/>
        </w:numPr>
        <w:jc w:val="both"/>
        <w:rPr>
          <w:rFonts w:cs="Times New Roman"/>
          <w:szCs w:val="28"/>
          <w:lang w:val="fr-CH"/>
        </w:rPr>
      </w:pPr>
      <w:r>
        <w:rPr>
          <w:rFonts w:cs="Times New Roman"/>
          <w:szCs w:val="28"/>
        </w:rPr>
        <w:t>Кодекс профессиональной этики врача РФ (</w:t>
      </w:r>
      <w:r>
        <w:rPr>
          <w:rStyle w:val="aff6"/>
          <w:rFonts w:cs="Times New Roman"/>
          <w:b w:val="0"/>
          <w:shd w:val="clear" w:color="auto" w:fill="FFFFFF"/>
        </w:rPr>
        <w:t xml:space="preserve">принят Первым национальным съездом врачей Российской Федерации 05.10.2012). </w:t>
      </w:r>
      <w:r>
        <w:rPr>
          <w:rFonts w:cs="Times New Roman"/>
          <w:szCs w:val="28"/>
          <w:lang w:val="en-US"/>
        </w:rPr>
        <w:t>URL</w:t>
      </w:r>
      <w:r>
        <w:rPr>
          <w:rFonts w:cs="Times New Roman"/>
          <w:szCs w:val="28"/>
          <w:lang w:val="fr-CH"/>
        </w:rPr>
        <w:t xml:space="preserve">: </w:t>
      </w:r>
      <w:hyperlink r:id="rId13" w:tooltip="https://skkdkb.ru/specialistam/kodeks-professionalnoj-etiki-vracha-rf.html" w:history="1">
        <w:r>
          <w:rPr>
            <w:rStyle w:val="af4"/>
            <w:rFonts w:cs="Times New Roman"/>
            <w:color w:val="auto"/>
            <w:szCs w:val="28"/>
            <w:u w:val="none"/>
            <w:lang w:val="fr-CH"/>
          </w:rPr>
          <w:t>https://skkdkb.ru/specialistam/kodeks-professionalnoj-etiki-vracha-rf.html</w:t>
        </w:r>
      </w:hyperlink>
      <w:r>
        <w:rPr>
          <w:rStyle w:val="af4"/>
          <w:rFonts w:cs="Times New Roman"/>
          <w:color w:val="auto"/>
          <w:szCs w:val="28"/>
          <w:u w:val="none"/>
          <w:lang w:val="en-US"/>
        </w:rPr>
        <w:t>.</w:t>
      </w:r>
    </w:p>
    <w:p w:rsidR="002C40DB" w:rsidRDefault="00EE6944">
      <w:pPr>
        <w:pStyle w:val="af2"/>
        <w:numPr>
          <w:ilvl w:val="0"/>
          <w:numId w:val="11"/>
        </w:numPr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lastRenderedPageBreak/>
        <w:t xml:space="preserve">Ethics and governance of artificial intelligence for health: WHO guidance // World Health </w:t>
      </w:r>
      <w:proofErr w:type="gramStart"/>
      <w:r>
        <w:rPr>
          <w:rFonts w:cs="Times New Roman"/>
          <w:szCs w:val="28"/>
          <w:lang w:val="en-US"/>
        </w:rPr>
        <w:t>Organization :</w:t>
      </w:r>
      <w:proofErr w:type="gramEnd"/>
      <w:r>
        <w:rPr>
          <w:rFonts w:cs="Times New Roman"/>
          <w:szCs w:val="28"/>
          <w:lang w:val="en-US"/>
        </w:rPr>
        <w:t xml:space="preserve"> [</w:t>
      </w:r>
      <w:r>
        <w:rPr>
          <w:rFonts w:cs="Times New Roman"/>
          <w:szCs w:val="28"/>
          <w:lang w:val="en-US"/>
        </w:rPr>
        <w:t xml:space="preserve">website]. URL:  </w:t>
      </w:r>
      <w:hyperlink r:id="rId14" w:tooltip="https://www.who.int/publications-detail-redirect/9789240029200" w:history="1">
        <w:r>
          <w:rPr>
            <w:rStyle w:val="af4"/>
            <w:rFonts w:cs="Times New Roman"/>
            <w:color w:val="auto"/>
            <w:szCs w:val="28"/>
            <w:u w:val="none"/>
            <w:lang w:val="en-US"/>
          </w:rPr>
          <w:t>https://www.who.int/publications-detail-redirect/9789240029200</w:t>
        </w:r>
      </w:hyperlink>
      <w:r>
        <w:rPr>
          <w:rStyle w:val="af4"/>
          <w:rFonts w:cs="Times New Roman"/>
          <w:color w:val="auto"/>
          <w:szCs w:val="28"/>
          <w:u w:val="none"/>
          <w:lang w:val="en-US"/>
        </w:rPr>
        <w:t>.</w:t>
      </w:r>
    </w:p>
    <w:sectPr w:rsidR="002C40DB">
      <w:footerReference w:type="even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DB" w:rsidRDefault="00EE6944">
      <w:r>
        <w:separator/>
      </w:r>
    </w:p>
  </w:endnote>
  <w:endnote w:type="continuationSeparator" w:id="0">
    <w:p w:rsidR="002C40DB" w:rsidRDefault="00EE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935242"/>
      <w:docPartObj>
        <w:docPartGallery w:val="Page Numbers (Bottom of Page)"/>
        <w:docPartUnique/>
      </w:docPartObj>
    </w:sdtPr>
    <w:sdtEndPr/>
    <w:sdtContent>
      <w:p w:rsidR="002C40DB" w:rsidRDefault="00EE6944">
        <w:pPr>
          <w:pStyle w:val="af8"/>
          <w:framePr w:wrap="none" w:vAnchor="text" w:hAnchor="margin" w:xAlign="center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separate"/>
        </w:r>
        <w:r>
          <w:rPr>
            <w:rStyle w:val="afa"/>
          </w:rPr>
          <w:t>1</w:t>
        </w:r>
        <w:r>
          <w:rPr>
            <w:rStyle w:val="afa"/>
          </w:rPr>
          <w:fldChar w:fldCharType="end"/>
        </w:r>
      </w:p>
    </w:sdtContent>
  </w:sdt>
  <w:p w:rsidR="002C40DB" w:rsidRDefault="002C40DB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2646571"/>
      <w:docPartObj>
        <w:docPartGallery w:val="Page Numbers (Bottom of Page)"/>
        <w:docPartUnique/>
      </w:docPartObj>
    </w:sdtPr>
    <w:sdtEndPr/>
    <w:sdtContent>
      <w:p w:rsidR="002C40DB" w:rsidRDefault="00EE6944">
        <w:pPr>
          <w:pStyle w:val="af8"/>
          <w:framePr w:wrap="none" w:vAnchor="text" w:hAnchor="margin" w:xAlign="center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separate"/>
        </w:r>
        <w:r w:rsidR="00E05421">
          <w:rPr>
            <w:rStyle w:val="afa"/>
            <w:noProof/>
          </w:rPr>
          <w:t>8</w:t>
        </w:r>
        <w:r>
          <w:rPr>
            <w:rStyle w:val="afa"/>
          </w:rPr>
          <w:fldChar w:fldCharType="end"/>
        </w:r>
      </w:p>
    </w:sdtContent>
  </w:sdt>
  <w:p w:rsidR="002C40DB" w:rsidRDefault="002C40D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DB" w:rsidRDefault="00EE6944">
      <w:r>
        <w:separator/>
      </w:r>
    </w:p>
  </w:footnote>
  <w:footnote w:type="continuationSeparator" w:id="0">
    <w:p w:rsidR="002C40DB" w:rsidRDefault="00EE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EDB"/>
    <w:multiLevelType w:val="hybridMultilevel"/>
    <w:tmpl w:val="1194A248"/>
    <w:lvl w:ilvl="0" w:tplc="46881D2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162D0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C0F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CE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8A4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2A4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E3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A4F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A5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6171"/>
    <w:multiLevelType w:val="hybridMultilevel"/>
    <w:tmpl w:val="DB5E5540"/>
    <w:lvl w:ilvl="0" w:tplc="0B60E4E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4707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582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8A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660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8E6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00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E71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90C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C3B9A"/>
    <w:multiLevelType w:val="hybridMultilevel"/>
    <w:tmpl w:val="923EF11A"/>
    <w:lvl w:ilvl="0" w:tplc="2A86A4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1DC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84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26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59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AD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6A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658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8D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3959"/>
    <w:multiLevelType w:val="hybridMultilevel"/>
    <w:tmpl w:val="82267396"/>
    <w:lvl w:ilvl="0" w:tplc="BE80EF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310A3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F61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EC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E3C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E8C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2F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0A1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585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B54D4"/>
    <w:multiLevelType w:val="hybridMultilevel"/>
    <w:tmpl w:val="062AC286"/>
    <w:lvl w:ilvl="0" w:tplc="3A121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9288B4E">
      <w:start w:val="1"/>
      <w:numFmt w:val="lowerLetter"/>
      <w:lvlText w:val="%2."/>
      <w:lvlJc w:val="left"/>
      <w:pPr>
        <w:ind w:left="1080" w:hanging="360"/>
      </w:pPr>
    </w:lvl>
    <w:lvl w:ilvl="2" w:tplc="C0062962">
      <w:start w:val="1"/>
      <w:numFmt w:val="lowerRoman"/>
      <w:lvlText w:val="%3."/>
      <w:lvlJc w:val="right"/>
      <w:pPr>
        <w:ind w:left="1800" w:hanging="180"/>
      </w:pPr>
    </w:lvl>
    <w:lvl w:ilvl="3" w:tplc="148EF996">
      <w:start w:val="1"/>
      <w:numFmt w:val="decimal"/>
      <w:lvlText w:val="%4."/>
      <w:lvlJc w:val="left"/>
      <w:pPr>
        <w:ind w:left="2520" w:hanging="360"/>
      </w:pPr>
    </w:lvl>
    <w:lvl w:ilvl="4" w:tplc="872409AE">
      <w:start w:val="1"/>
      <w:numFmt w:val="lowerLetter"/>
      <w:lvlText w:val="%5."/>
      <w:lvlJc w:val="left"/>
      <w:pPr>
        <w:ind w:left="3240" w:hanging="360"/>
      </w:pPr>
    </w:lvl>
    <w:lvl w:ilvl="5" w:tplc="95C65CAE">
      <w:start w:val="1"/>
      <w:numFmt w:val="lowerRoman"/>
      <w:lvlText w:val="%6."/>
      <w:lvlJc w:val="right"/>
      <w:pPr>
        <w:ind w:left="3960" w:hanging="180"/>
      </w:pPr>
    </w:lvl>
    <w:lvl w:ilvl="6" w:tplc="FA04EFE0">
      <w:start w:val="1"/>
      <w:numFmt w:val="decimal"/>
      <w:lvlText w:val="%7."/>
      <w:lvlJc w:val="left"/>
      <w:pPr>
        <w:ind w:left="4680" w:hanging="360"/>
      </w:pPr>
    </w:lvl>
    <w:lvl w:ilvl="7" w:tplc="2656299E">
      <w:start w:val="1"/>
      <w:numFmt w:val="lowerLetter"/>
      <w:lvlText w:val="%8."/>
      <w:lvlJc w:val="left"/>
      <w:pPr>
        <w:ind w:left="5400" w:hanging="360"/>
      </w:pPr>
    </w:lvl>
    <w:lvl w:ilvl="8" w:tplc="E3A86AA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56DA8"/>
    <w:multiLevelType w:val="hybridMultilevel"/>
    <w:tmpl w:val="37F2BD50"/>
    <w:lvl w:ilvl="0" w:tplc="4622F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A07E86">
      <w:start w:val="1"/>
      <w:numFmt w:val="lowerLetter"/>
      <w:lvlText w:val="%2."/>
      <w:lvlJc w:val="left"/>
      <w:pPr>
        <w:ind w:left="1440" w:hanging="360"/>
      </w:pPr>
    </w:lvl>
    <w:lvl w:ilvl="2" w:tplc="6F0814BC">
      <w:start w:val="1"/>
      <w:numFmt w:val="lowerRoman"/>
      <w:lvlText w:val="%3."/>
      <w:lvlJc w:val="right"/>
      <w:pPr>
        <w:ind w:left="2160" w:hanging="180"/>
      </w:pPr>
    </w:lvl>
    <w:lvl w:ilvl="3" w:tplc="C00C1B38">
      <w:start w:val="1"/>
      <w:numFmt w:val="decimal"/>
      <w:lvlText w:val="%4."/>
      <w:lvlJc w:val="left"/>
      <w:pPr>
        <w:ind w:left="2880" w:hanging="360"/>
      </w:pPr>
    </w:lvl>
    <w:lvl w:ilvl="4" w:tplc="B9E28450">
      <w:start w:val="1"/>
      <w:numFmt w:val="lowerLetter"/>
      <w:lvlText w:val="%5."/>
      <w:lvlJc w:val="left"/>
      <w:pPr>
        <w:ind w:left="3600" w:hanging="360"/>
      </w:pPr>
    </w:lvl>
    <w:lvl w:ilvl="5" w:tplc="78827B60">
      <w:start w:val="1"/>
      <w:numFmt w:val="lowerRoman"/>
      <w:lvlText w:val="%6."/>
      <w:lvlJc w:val="right"/>
      <w:pPr>
        <w:ind w:left="4320" w:hanging="180"/>
      </w:pPr>
    </w:lvl>
    <w:lvl w:ilvl="6" w:tplc="85406BB6">
      <w:start w:val="1"/>
      <w:numFmt w:val="decimal"/>
      <w:lvlText w:val="%7."/>
      <w:lvlJc w:val="left"/>
      <w:pPr>
        <w:ind w:left="5040" w:hanging="360"/>
      </w:pPr>
    </w:lvl>
    <w:lvl w:ilvl="7" w:tplc="A92EE3CC">
      <w:start w:val="1"/>
      <w:numFmt w:val="lowerLetter"/>
      <w:lvlText w:val="%8."/>
      <w:lvlJc w:val="left"/>
      <w:pPr>
        <w:ind w:left="5760" w:hanging="360"/>
      </w:pPr>
    </w:lvl>
    <w:lvl w:ilvl="8" w:tplc="B4AE2E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D74D7"/>
    <w:multiLevelType w:val="hybridMultilevel"/>
    <w:tmpl w:val="660EA3E6"/>
    <w:lvl w:ilvl="0" w:tplc="401E2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94D1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ECB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6A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4BB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E41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0E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0D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082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45019"/>
    <w:multiLevelType w:val="hybridMultilevel"/>
    <w:tmpl w:val="3D0A3A40"/>
    <w:lvl w:ilvl="0" w:tplc="176E1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289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AC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2A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03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60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83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A01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A67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177D1"/>
    <w:multiLevelType w:val="hybridMultilevel"/>
    <w:tmpl w:val="B3DC7C1A"/>
    <w:lvl w:ilvl="0" w:tplc="73309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701130">
      <w:start w:val="1"/>
      <w:numFmt w:val="lowerLetter"/>
      <w:lvlText w:val="%2."/>
      <w:lvlJc w:val="left"/>
      <w:pPr>
        <w:ind w:left="1440" w:hanging="360"/>
      </w:pPr>
    </w:lvl>
    <w:lvl w:ilvl="2" w:tplc="DBAABCE8">
      <w:start w:val="1"/>
      <w:numFmt w:val="lowerRoman"/>
      <w:lvlText w:val="%3."/>
      <w:lvlJc w:val="right"/>
      <w:pPr>
        <w:ind w:left="2160" w:hanging="180"/>
      </w:pPr>
    </w:lvl>
    <w:lvl w:ilvl="3" w:tplc="84FAF6FC">
      <w:start w:val="1"/>
      <w:numFmt w:val="decimal"/>
      <w:lvlText w:val="%4."/>
      <w:lvlJc w:val="left"/>
      <w:pPr>
        <w:ind w:left="2880" w:hanging="360"/>
      </w:pPr>
    </w:lvl>
    <w:lvl w:ilvl="4" w:tplc="A48AC0A0">
      <w:start w:val="1"/>
      <w:numFmt w:val="lowerLetter"/>
      <w:lvlText w:val="%5."/>
      <w:lvlJc w:val="left"/>
      <w:pPr>
        <w:ind w:left="3600" w:hanging="360"/>
      </w:pPr>
    </w:lvl>
    <w:lvl w:ilvl="5" w:tplc="626EA9BE">
      <w:start w:val="1"/>
      <w:numFmt w:val="lowerRoman"/>
      <w:lvlText w:val="%6."/>
      <w:lvlJc w:val="right"/>
      <w:pPr>
        <w:ind w:left="4320" w:hanging="180"/>
      </w:pPr>
    </w:lvl>
    <w:lvl w:ilvl="6" w:tplc="5008BAA0">
      <w:start w:val="1"/>
      <w:numFmt w:val="decimal"/>
      <w:lvlText w:val="%7."/>
      <w:lvlJc w:val="left"/>
      <w:pPr>
        <w:ind w:left="5040" w:hanging="360"/>
      </w:pPr>
    </w:lvl>
    <w:lvl w:ilvl="7" w:tplc="01E03B36">
      <w:start w:val="1"/>
      <w:numFmt w:val="lowerLetter"/>
      <w:lvlText w:val="%8."/>
      <w:lvlJc w:val="left"/>
      <w:pPr>
        <w:ind w:left="5760" w:hanging="360"/>
      </w:pPr>
    </w:lvl>
    <w:lvl w:ilvl="8" w:tplc="F984C75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54FDF"/>
    <w:multiLevelType w:val="hybridMultilevel"/>
    <w:tmpl w:val="AE3CDD3E"/>
    <w:lvl w:ilvl="0" w:tplc="1CE0F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7808A2">
      <w:start w:val="1"/>
      <w:numFmt w:val="lowerLetter"/>
      <w:lvlText w:val="%2."/>
      <w:lvlJc w:val="left"/>
      <w:pPr>
        <w:ind w:left="1440" w:hanging="360"/>
      </w:pPr>
    </w:lvl>
    <w:lvl w:ilvl="2" w:tplc="7012DFF0">
      <w:start w:val="1"/>
      <w:numFmt w:val="lowerRoman"/>
      <w:lvlText w:val="%3."/>
      <w:lvlJc w:val="right"/>
      <w:pPr>
        <w:ind w:left="2160" w:hanging="180"/>
      </w:pPr>
    </w:lvl>
    <w:lvl w:ilvl="3" w:tplc="A6A0DF76">
      <w:start w:val="1"/>
      <w:numFmt w:val="decimal"/>
      <w:lvlText w:val="%4."/>
      <w:lvlJc w:val="left"/>
      <w:pPr>
        <w:ind w:left="2880" w:hanging="360"/>
      </w:pPr>
    </w:lvl>
    <w:lvl w:ilvl="4" w:tplc="402645F0">
      <w:start w:val="1"/>
      <w:numFmt w:val="lowerLetter"/>
      <w:lvlText w:val="%5."/>
      <w:lvlJc w:val="left"/>
      <w:pPr>
        <w:ind w:left="3600" w:hanging="360"/>
      </w:pPr>
    </w:lvl>
    <w:lvl w:ilvl="5" w:tplc="781C2D3C">
      <w:start w:val="1"/>
      <w:numFmt w:val="lowerRoman"/>
      <w:lvlText w:val="%6."/>
      <w:lvlJc w:val="right"/>
      <w:pPr>
        <w:ind w:left="4320" w:hanging="180"/>
      </w:pPr>
    </w:lvl>
    <w:lvl w:ilvl="6" w:tplc="E3F83B02">
      <w:start w:val="1"/>
      <w:numFmt w:val="decimal"/>
      <w:lvlText w:val="%7."/>
      <w:lvlJc w:val="left"/>
      <w:pPr>
        <w:ind w:left="5040" w:hanging="360"/>
      </w:pPr>
    </w:lvl>
    <w:lvl w:ilvl="7" w:tplc="1A14EBC0">
      <w:start w:val="1"/>
      <w:numFmt w:val="lowerLetter"/>
      <w:lvlText w:val="%8."/>
      <w:lvlJc w:val="left"/>
      <w:pPr>
        <w:ind w:left="5760" w:hanging="360"/>
      </w:pPr>
    </w:lvl>
    <w:lvl w:ilvl="8" w:tplc="E0D621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42FDD"/>
    <w:multiLevelType w:val="hybridMultilevel"/>
    <w:tmpl w:val="C816A1FC"/>
    <w:lvl w:ilvl="0" w:tplc="DE3AE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38B2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3E870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5C226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5F4D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C80F95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205D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52A8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A8CBA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220136"/>
    <w:multiLevelType w:val="hybridMultilevel"/>
    <w:tmpl w:val="5422ED1C"/>
    <w:lvl w:ilvl="0" w:tplc="F3547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B2487E">
      <w:start w:val="1"/>
      <w:numFmt w:val="lowerLetter"/>
      <w:lvlText w:val="%2."/>
      <w:lvlJc w:val="left"/>
      <w:pPr>
        <w:ind w:left="1440" w:hanging="360"/>
      </w:pPr>
    </w:lvl>
    <w:lvl w:ilvl="2" w:tplc="9D7078CE">
      <w:start w:val="1"/>
      <w:numFmt w:val="lowerRoman"/>
      <w:lvlText w:val="%3."/>
      <w:lvlJc w:val="right"/>
      <w:pPr>
        <w:ind w:left="2160" w:hanging="180"/>
      </w:pPr>
    </w:lvl>
    <w:lvl w:ilvl="3" w:tplc="FD86B468">
      <w:start w:val="1"/>
      <w:numFmt w:val="decimal"/>
      <w:lvlText w:val="%4."/>
      <w:lvlJc w:val="left"/>
      <w:pPr>
        <w:ind w:left="2880" w:hanging="360"/>
      </w:pPr>
    </w:lvl>
    <w:lvl w:ilvl="4" w:tplc="95BAA2D4">
      <w:start w:val="1"/>
      <w:numFmt w:val="lowerLetter"/>
      <w:lvlText w:val="%5."/>
      <w:lvlJc w:val="left"/>
      <w:pPr>
        <w:ind w:left="3600" w:hanging="360"/>
      </w:pPr>
    </w:lvl>
    <w:lvl w:ilvl="5" w:tplc="29E0DE7E">
      <w:start w:val="1"/>
      <w:numFmt w:val="lowerRoman"/>
      <w:lvlText w:val="%6."/>
      <w:lvlJc w:val="right"/>
      <w:pPr>
        <w:ind w:left="4320" w:hanging="180"/>
      </w:pPr>
    </w:lvl>
    <w:lvl w:ilvl="6" w:tplc="04080A16">
      <w:start w:val="1"/>
      <w:numFmt w:val="decimal"/>
      <w:lvlText w:val="%7."/>
      <w:lvlJc w:val="left"/>
      <w:pPr>
        <w:ind w:left="5040" w:hanging="360"/>
      </w:pPr>
    </w:lvl>
    <w:lvl w:ilvl="7" w:tplc="56D0C466">
      <w:start w:val="1"/>
      <w:numFmt w:val="lowerLetter"/>
      <w:lvlText w:val="%8."/>
      <w:lvlJc w:val="left"/>
      <w:pPr>
        <w:ind w:left="5760" w:hanging="360"/>
      </w:pPr>
    </w:lvl>
    <w:lvl w:ilvl="8" w:tplc="19EE2A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13F61"/>
    <w:multiLevelType w:val="hybridMultilevel"/>
    <w:tmpl w:val="38FC859A"/>
    <w:lvl w:ilvl="0" w:tplc="0D781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C8CC0">
      <w:start w:val="1"/>
      <w:numFmt w:val="lowerLetter"/>
      <w:lvlText w:val="%2."/>
      <w:lvlJc w:val="left"/>
      <w:pPr>
        <w:ind w:left="1440" w:hanging="360"/>
      </w:pPr>
    </w:lvl>
    <w:lvl w:ilvl="2" w:tplc="34A61E82">
      <w:start w:val="1"/>
      <w:numFmt w:val="lowerRoman"/>
      <w:lvlText w:val="%3."/>
      <w:lvlJc w:val="right"/>
      <w:pPr>
        <w:ind w:left="2160" w:hanging="180"/>
      </w:pPr>
    </w:lvl>
    <w:lvl w:ilvl="3" w:tplc="B82E7344">
      <w:start w:val="1"/>
      <w:numFmt w:val="decimal"/>
      <w:lvlText w:val="%4."/>
      <w:lvlJc w:val="left"/>
      <w:pPr>
        <w:ind w:left="2880" w:hanging="360"/>
      </w:pPr>
    </w:lvl>
    <w:lvl w:ilvl="4" w:tplc="60A89210">
      <w:start w:val="1"/>
      <w:numFmt w:val="lowerLetter"/>
      <w:lvlText w:val="%5."/>
      <w:lvlJc w:val="left"/>
      <w:pPr>
        <w:ind w:left="3600" w:hanging="360"/>
      </w:pPr>
    </w:lvl>
    <w:lvl w:ilvl="5" w:tplc="E5DE2414">
      <w:start w:val="1"/>
      <w:numFmt w:val="lowerRoman"/>
      <w:lvlText w:val="%6."/>
      <w:lvlJc w:val="right"/>
      <w:pPr>
        <w:ind w:left="4320" w:hanging="180"/>
      </w:pPr>
    </w:lvl>
    <w:lvl w:ilvl="6" w:tplc="55840066">
      <w:start w:val="1"/>
      <w:numFmt w:val="decimal"/>
      <w:lvlText w:val="%7."/>
      <w:lvlJc w:val="left"/>
      <w:pPr>
        <w:ind w:left="5040" w:hanging="360"/>
      </w:pPr>
    </w:lvl>
    <w:lvl w:ilvl="7" w:tplc="C74403B6">
      <w:start w:val="1"/>
      <w:numFmt w:val="lowerLetter"/>
      <w:lvlText w:val="%8."/>
      <w:lvlJc w:val="left"/>
      <w:pPr>
        <w:ind w:left="5760" w:hanging="360"/>
      </w:pPr>
    </w:lvl>
    <w:lvl w:ilvl="8" w:tplc="BFFA92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DB"/>
    <w:rsid w:val="002C40DB"/>
    <w:rsid w:val="003C4D9C"/>
    <w:rsid w:val="00E05421"/>
    <w:rsid w:val="00E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8D82"/>
  <w15:docId w15:val="{F0EAAEF8-4255-4F31-9CD8-5E6CED5D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2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jc w:val="left"/>
      <w:outlineLvl w:val="3"/>
    </w:pPr>
    <w:rPr>
      <w:rFonts w:eastAsia="Arial" w:cs="Arial"/>
      <w:bCs/>
      <w:i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Arial" w:hAnsi="Times New Roman" w:cs="Arial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Arial" w:hAnsi="Times New Roman" w:cs="Arial"/>
      <w:bCs/>
      <w:i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Grid Table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11">
    <w:name w:val="Grid Table 1 Light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-13">
    <w:name w:val="Grid Table 1 Light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-14">
    <w:name w:val="Grid Table 1 Light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-15">
    <w:name w:val="Grid Table 1 Light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-16">
    <w:name w:val="Grid Table 1 Light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21">
    <w:name w:val="Grid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22">
    <w:name w:val="Grid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23">
    <w:name w:val="Grid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24">
    <w:name w:val="Grid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25">
    <w:name w:val="Grid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26">
    <w:name w:val="Grid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3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3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3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3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3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1">
    <w:name w:val="Grid Table 4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-42">
    <w:name w:val="Grid Table 4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43">
    <w:name w:val="Grid Table 4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44">
    <w:name w:val="Grid Table 4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45">
    <w:name w:val="Grid Table 4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46">
    <w:name w:val="Grid Table 4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-52">
    <w:name w:val="Grid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-53">
    <w:name w:val="Grid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-55">
    <w:name w:val="Grid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-56">
    <w:name w:val="Grid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110">
    <w:name w:val="List Table 1 Light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-12">
    <w:name w:val="List Table 1 Light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-130">
    <w:name w:val="List Table 1 Light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-140">
    <w:name w:val="List Table 1 Light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-150">
    <w:name w:val="List Table 1 Light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210">
    <w:name w:val="List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220">
    <w:name w:val="List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230">
    <w:name w:val="List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240">
    <w:name w:val="List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250">
    <w:name w:val="List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260">
    <w:name w:val="List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310">
    <w:name w:val="List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-320">
    <w:name w:val="List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-330">
    <w:name w:val="List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-340">
    <w:name w:val="List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-350">
    <w:name w:val="List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-360">
    <w:name w:val="List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410">
    <w:name w:val="List Table 4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420">
    <w:name w:val="List Table 4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430">
    <w:name w:val="List Table 4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440">
    <w:name w:val="List Table 4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450">
    <w:name w:val="List Table 4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460">
    <w:name w:val="List Table 4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51">
    <w:name w:val="List Table 5 Dark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-520">
    <w:name w:val="List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-530">
    <w:name w:val="List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-54">
    <w:name w:val="List Table 5 Dark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-550">
    <w:name w:val="List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-560">
    <w:name w:val="List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 w:cs="Times New Roman"/>
      <w:lang w:eastAsia="en-GB"/>
    </w:rPr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paragraph" w:styleId="af5">
    <w:name w:val="Bibliography"/>
    <w:basedOn w:val="a"/>
    <w:next w:val="a"/>
    <w:uiPriority w:val="37"/>
    <w:unhideWhenUsed/>
    <w:pPr>
      <w:tabs>
        <w:tab w:val="left" w:pos="380"/>
      </w:tabs>
      <w:ind w:left="384" w:hanging="384"/>
    </w:pPr>
  </w:style>
  <w:style w:type="paragraph" w:styleId="af6">
    <w:name w:val="header"/>
    <w:basedOn w:val="a"/>
    <w:link w:val="af7"/>
    <w:uiPriority w:val="99"/>
    <w:unhideWhenUsed/>
    <w:pPr>
      <w:tabs>
        <w:tab w:val="center" w:pos="4513"/>
        <w:tab w:val="right" w:pos="9026"/>
      </w:tabs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513"/>
        <w:tab w:val="right" w:pos="9026"/>
      </w:tabs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page number"/>
    <w:basedOn w:val="a0"/>
    <w:uiPriority w:val="99"/>
    <w:semiHidden/>
    <w:unhideWhenUsed/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2">
    <w:name w:val="footnote text"/>
    <w:basedOn w:val="a"/>
    <w:link w:val="aff3"/>
    <w:uiPriority w:val="99"/>
    <w:semiHidden/>
    <w:unhideWhenUsed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Pr>
      <w:sz w:val="20"/>
      <w:szCs w:val="20"/>
    </w:rPr>
  </w:style>
  <w:style w:type="character" w:styleId="aff4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5">
    <w:name w:val="Revision"/>
    <w:hidden/>
    <w:uiPriority w:val="99"/>
    <w:semiHidden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styleId="aff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kkdkb.ru/specialistam/kodeks-professionalnoj-etiki-vracha-rf.htm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-ai.ru/ethics/index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7816/DD7744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17816/DD107367" TargetMode="External"/><Relationship Id="rId4" Type="http://schemas.openxmlformats.org/officeDocument/2006/relationships/styles" Target="styles.xml"/><Relationship Id="rId9" Type="http://schemas.openxmlformats.org/officeDocument/2006/relationships/hyperlink" Target="http://publication.pravo.gov.ru/Document/View/0001201805070038" TargetMode="External"/><Relationship Id="rId14" Type="http://schemas.openxmlformats.org/officeDocument/2006/relationships/hyperlink" Target="https://www.who.int/publications-detail-redirect/9789240029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40EFFAD3-926C-4CF6-9797-9800D92076BD}"/>
</file>

<file path=customXml/itemProps2.xml><?xml version="1.0" encoding="utf-8"?>
<ds:datastoreItem xmlns:ds="http://schemas.openxmlformats.org/officeDocument/2006/customXml" ds:itemID="{BE624DCA-BD7C-4DC8-AD11-034B54FD3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</dc:creator>
  <cp:keywords/>
  <dc:description/>
  <cp:lastModifiedBy>Гамарина Валентина Павловна</cp:lastModifiedBy>
  <cp:revision>2</cp:revision>
  <dcterms:created xsi:type="dcterms:W3CDTF">2023-07-25T06:12:00Z</dcterms:created>
  <dcterms:modified xsi:type="dcterms:W3CDTF">2023-07-25T06:12:00Z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zotero-version="6.0.18"&gt;&lt;session id="F51gfhX0"/&gt;&lt;style id="http://www.zotero.org/styles/ieee" locale="en-US" hasBibliography="1" bibliographyStyleHasBeenSet="1"/&gt;&lt;prefs&gt;&lt;pref name="fieldType" value="Field"/&gt;&lt;pref name="automaticJour</vt:lpwstr>
  </property>
  <property fmtid="{D5CDD505-2E9C-101B-9397-08002B2CF9AE}" pid="3" name="ZOTERO_PREF_2">
    <vt:lpwstr>nalAbbreviations" value="true"/&gt;&lt;/prefs&gt;&lt;/data&gt;</vt:lpwstr>
  </property>
</Properties>
</file>